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5788" w14:textId="77777777" w:rsidR="00F2165D" w:rsidRDefault="00F2165D" w:rsidP="00F2165D">
      <w:pPr>
        <w:widowControl/>
      </w:pPr>
    </w:p>
    <w:tbl>
      <w:tblPr>
        <w:tblW w:w="9072" w:type="dxa"/>
        <w:tblLayout w:type="fixed"/>
        <w:tblCellMar>
          <w:left w:w="0" w:type="dxa"/>
          <w:right w:w="0" w:type="dxa"/>
        </w:tblCellMar>
        <w:tblLook w:val="0000" w:firstRow="0" w:lastRow="0" w:firstColumn="0" w:lastColumn="0" w:noHBand="0" w:noVBand="0"/>
      </w:tblPr>
      <w:tblGrid>
        <w:gridCol w:w="9072"/>
      </w:tblGrid>
      <w:tr w:rsidR="00F2165D" w:rsidRPr="004D102D" w14:paraId="7105692A" w14:textId="77777777" w:rsidTr="00542FF0">
        <w:trPr>
          <w:cantSplit/>
        </w:trPr>
        <w:tc>
          <w:tcPr>
            <w:tcW w:w="9072" w:type="dxa"/>
            <w:vAlign w:val="bottom"/>
          </w:tcPr>
          <w:p w14:paraId="40B4BEB8" w14:textId="77777777" w:rsidR="00F2165D" w:rsidRPr="00A151B9" w:rsidRDefault="00F2165D" w:rsidP="00542FF0">
            <w:pPr>
              <w:jc w:val="center"/>
              <w:rPr>
                <w:rStyle w:val="Titredulivre"/>
                <w:sz w:val="48"/>
                <w:szCs w:val="48"/>
              </w:rPr>
            </w:pPr>
            <w:r w:rsidRPr="00A151B9">
              <w:rPr>
                <w:rStyle w:val="Titredulivre"/>
                <w:sz w:val="48"/>
                <w:szCs w:val="48"/>
              </w:rPr>
              <w:t>Rapport concernant le Test de solvabilité LAMal (Modèle)</w:t>
            </w:r>
          </w:p>
        </w:tc>
      </w:tr>
    </w:tbl>
    <w:p w14:paraId="77A065AB" w14:textId="77777777" w:rsidR="00F2165D" w:rsidRPr="004D102D" w:rsidRDefault="00F2165D" w:rsidP="00F2165D">
      <w:pPr>
        <w:pStyle w:val="Sous-titre"/>
        <w:rPr>
          <w:rStyle w:val="Titredulivre"/>
        </w:rPr>
      </w:pPr>
    </w:p>
    <w:p w14:paraId="5F69433C" w14:textId="77777777" w:rsidR="004D102D" w:rsidRPr="008E66B3" w:rsidRDefault="004D102D" w:rsidP="004D102D">
      <w:pPr>
        <w:pStyle w:val="Referenz"/>
      </w:pPr>
      <w:r w:rsidRPr="00A151B9">
        <w:t>Ce</w:t>
      </w:r>
      <w:r w:rsidRPr="008E66B3">
        <w:t xml:space="preserve"> document </w:t>
      </w:r>
      <w:r w:rsidRPr="00A151B9">
        <w:t>est également disponible en allemand.</w:t>
      </w:r>
    </w:p>
    <w:p w14:paraId="64454736" w14:textId="77777777" w:rsidR="00F2165D" w:rsidRPr="008E66B3" w:rsidRDefault="00F2165D" w:rsidP="00F2165D">
      <w:pPr>
        <w:pStyle w:val="Referenz"/>
      </w:pPr>
    </w:p>
    <w:tbl>
      <w:tblPr>
        <w:tblW w:w="9072" w:type="dxa"/>
        <w:tblLayout w:type="fixed"/>
        <w:tblCellMar>
          <w:left w:w="0" w:type="dxa"/>
          <w:right w:w="0" w:type="dxa"/>
        </w:tblCellMar>
        <w:tblLook w:val="0000" w:firstRow="0" w:lastRow="0" w:firstColumn="0" w:lastColumn="0" w:noHBand="0" w:noVBand="0"/>
      </w:tblPr>
      <w:tblGrid>
        <w:gridCol w:w="4253"/>
        <w:gridCol w:w="4819"/>
      </w:tblGrid>
      <w:tr w:rsidR="00F2165D" w:rsidRPr="004D102D" w14:paraId="26163F4B" w14:textId="77777777" w:rsidTr="00542FF0">
        <w:trPr>
          <w:cantSplit/>
          <w:trHeight w:hRule="exact" w:val="340"/>
        </w:trPr>
        <w:tc>
          <w:tcPr>
            <w:tcW w:w="4253" w:type="dxa"/>
            <w:tcBorders>
              <w:top w:val="single" w:sz="4" w:space="0" w:color="auto"/>
            </w:tcBorders>
          </w:tcPr>
          <w:p w14:paraId="50C9CA78" w14:textId="77777777" w:rsidR="00F2165D" w:rsidRPr="00320119" w:rsidRDefault="00F2165D" w:rsidP="00542FF0"/>
        </w:tc>
        <w:tc>
          <w:tcPr>
            <w:tcW w:w="4819" w:type="dxa"/>
            <w:tcBorders>
              <w:top w:val="single" w:sz="4" w:space="0" w:color="auto"/>
            </w:tcBorders>
          </w:tcPr>
          <w:p w14:paraId="68692DFD" w14:textId="77777777" w:rsidR="00F2165D" w:rsidRPr="004D102D" w:rsidRDefault="00F2165D" w:rsidP="00542FF0"/>
        </w:tc>
      </w:tr>
    </w:tbl>
    <w:p w14:paraId="3E86E7CE" w14:textId="77777777" w:rsidR="00F2165D" w:rsidRPr="004D102D" w:rsidRDefault="00F2165D" w:rsidP="00F2165D">
      <w:pPr>
        <w:spacing w:line="240" w:lineRule="auto"/>
        <w:rPr>
          <w:sz w:val="4"/>
        </w:rPr>
      </w:pPr>
    </w:p>
    <w:tbl>
      <w:tblPr>
        <w:tblW w:w="9072" w:type="dxa"/>
        <w:tblLayout w:type="fixed"/>
        <w:tblCellMar>
          <w:left w:w="0" w:type="dxa"/>
          <w:right w:w="0" w:type="dxa"/>
        </w:tblCellMar>
        <w:tblLook w:val="0000" w:firstRow="0" w:lastRow="0" w:firstColumn="0" w:lastColumn="0" w:noHBand="0" w:noVBand="0"/>
      </w:tblPr>
      <w:tblGrid>
        <w:gridCol w:w="4253"/>
        <w:gridCol w:w="4819"/>
      </w:tblGrid>
      <w:tr w:rsidR="00F2165D" w:rsidRPr="004D102D" w14:paraId="07980EA1" w14:textId="77777777" w:rsidTr="00542FF0">
        <w:trPr>
          <w:cantSplit/>
          <w:trHeight w:val="227"/>
        </w:trPr>
        <w:tc>
          <w:tcPr>
            <w:tcW w:w="4253" w:type="dxa"/>
            <w:vAlign w:val="center"/>
          </w:tcPr>
          <w:p w14:paraId="58778F38" w14:textId="723AAC2A" w:rsidR="00F2165D" w:rsidRPr="004D102D" w:rsidRDefault="00F2165D" w:rsidP="00542FF0">
            <w:pPr>
              <w:pStyle w:val="Referenz"/>
              <w:rPr>
                <w:sz w:val="20"/>
                <w:szCs w:val="20"/>
              </w:rPr>
            </w:pPr>
            <w:r w:rsidRPr="004D102D">
              <w:rPr>
                <w:sz w:val="20"/>
                <w:szCs w:val="20"/>
              </w:rPr>
              <w:t>Date</w:t>
            </w:r>
            <w:r w:rsidR="00AE24E4">
              <w:rPr>
                <w:sz w:val="20"/>
                <w:szCs w:val="20"/>
              </w:rPr>
              <w:t xml:space="preserve"> </w:t>
            </w:r>
            <w:r w:rsidRPr="004D102D">
              <w:rPr>
                <w:sz w:val="20"/>
                <w:szCs w:val="20"/>
              </w:rPr>
              <w:t>:</w:t>
            </w:r>
          </w:p>
        </w:tc>
        <w:tc>
          <w:tcPr>
            <w:tcW w:w="4819" w:type="dxa"/>
            <w:vAlign w:val="center"/>
          </w:tcPr>
          <w:p w14:paraId="7DBE38D2" w14:textId="0C679EAD" w:rsidR="00F2165D" w:rsidRPr="00D5458F" w:rsidRDefault="00AE7E72" w:rsidP="00542FF0">
            <w:pPr>
              <w:pStyle w:val="Datum1"/>
              <w:rPr>
                <w:lang w:val="fr-CH"/>
              </w:rPr>
            </w:pPr>
            <w:r w:rsidRPr="00D5458F">
              <w:rPr>
                <w:lang w:val="fr-CH"/>
              </w:rPr>
              <w:t xml:space="preserve">1er février </w:t>
            </w:r>
            <w:r w:rsidR="00F953EB" w:rsidRPr="00D5458F">
              <w:rPr>
                <w:lang w:val="fr-CH"/>
              </w:rPr>
              <w:t>202</w:t>
            </w:r>
            <w:r w:rsidR="001A3DF7">
              <w:rPr>
                <w:lang w:val="fr-CH"/>
              </w:rPr>
              <w:t>5</w:t>
            </w:r>
          </w:p>
          <w:p w14:paraId="0596DC8F" w14:textId="77777777" w:rsidR="00F2165D" w:rsidRPr="004D102D" w:rsidRDefault="00F2165D" w:rsidP="00542FF0">
            <w:pPr>
              <w:rPr>
                <w:lang w:val="de-CH" w:eastAsia="de-CH"/>
              </w:rPr>
            </w:pPr>
          </w:p>
        </w:tc>
      </w:tr>
    </w:tbl>
    <w:p w14:paraId="070E7577" w14:textId="77777777" w:rsidR="00F2165D" w:rsidRPr="004D102D" w:rsidRDefault="00F2165D" w:rsidP="00F2165D">
      <w:pPr>
        <w:spacing w:line="240" w:lineRule="auto"/>
        <w:rPr>
          <w:sz w:val="4"/>
        </w:rPr>
      </w:pPr>
    </w:p>
    <w:tbl>
      <w:tblPr>
        <w:tblW w:w="9072" w:type="dxa"/>
        <w:tblLayout w:type="fixed"/>
        <w:tblCellMar>
          <w:left w:w="0" w:type="dxa"/>
          <w:right w:w="0" w:type="dxa"/>
        </w:tblCellMar>
        <w:tblLook w:val="0000" w:firstRow="0" w:lastRow="0" w:firstColumn="0" w:lastColumn="0" w:noHBand="0" w:noVBand="0"/>
      </w:tblPr>
      <w:tblGrid>
        <w:gridCol w:w="4253"/>
        <w:gridCol w:w="4819"/>
      </w:tblGrid>
      <w:tr w:rsidR="00F2165D" w:rsidRPr="004D102D" w14:paraId="48A9907C" w14:textId="77777777" w:rsidTr="00542FF0">
        <w:trPr>
          <w:cantSplit/>
          <w:trHeight w:hRule="exact" w:val="340"/>
        </w:trPr>
        <w:tc>
          <w:tcPr>
            <w:tcW w:w="4253" w:type="dxa"/>
            <w:tcBorders>
              <w:bottom w:val="single" w:sz="4" w:space="0" w:color="auto"/>
            </w:tcBorders>
            <w:vAlign w:val="center"/>
          </w:tcPr>
          <w:p w14:paraId="50BD074F" w14:textId="77777777" w:rsidR="00F2165D" w:rsidRPr="004D102D" w:rsidRDefault="00F2165D" w:rsidP="00542FF0"/>
        </w:tc>
        <w:tc>
          <w:tcPr>
            <w:tcW w:w="4819" w:type="dxa"/>
            <w:tcBorders>
              <w:bottom w:val="single" w:sz="4" w:space="0" w:color="auto"/>
            </w:tcBorders>
            <w:vAlign w:val="center"/>
          </w:tcPr>
          <w:p w14:paraId="7ECE3A90" w14:textId="77777777" w:rsidR="00F2165D" w:rsidRPr="004D102D" w:rsidRDefault="00F2165D" w:rsidP="00542FF0"/>
        </w:tc>
      </w:tr>
    </w:tbl>
    <w:p w14:paraId="2C18CDB9" w14:textId="77777777" w:rsidR="00F2165D" w:rsidRPr="004D102D" w:rsidRDefault="00F2165D" w:rsidP="00F2165D">
      <w:pPr>
        <w:pStyle w:val="Referenz"/>
      </w:pPr>
    </w:p>
    <w:p w14:paraId="4E990288" w14:textId="77777777" w:rsidR="00F2165D" w:rsidRPr="004D102D" w:rsidRDefault="00F2165D" w:rsidP="00F2165D">
      <w:pPr>
        <w:rPr>
          <w:rFonts w:cs="Arial"/>
          <w:szCs w:val="20"/>
          <w:lang w:val="fr-FR"/>
        </w:rPr>
      </w:pPr>
      <w:r w:rsidRPr="004D102D">
        <w:t xml:space="preserve">Selon l’article 13 </w:t>
      </w:r>
      <w:r w:rsidRPr="004D102D">
        <w:rPr>
          <w:rFonts w:cs="Arial"/>
          <w:lang w:val="fr-FR"/>
        </w:rPr>
        <w:t xml:space="preserve">OSAMal </w:t>
      </w:r>
      <w:r w:rsidRPr="004D102D">
        <w:rPr>
          <w:rFonts w:cs="Arial"/>
          <w:szCs w:val="20"/>
          <w:lang w:val="fr-FR"/>
        </w:rPr>
        <w:t>le rapport doit contenir toutes les informations déterminantes permettant de comprendre le calcul des réserves disponibles, le calcul du niveau minimal des réserves et la situation de l'assureur en matière de risques.</w:t>
      </w:r>
    </w:p>
    <w:p w14:paraId="5F02EA74" w14:textId="77777777" w:rsidR="00F2165D" w:rsidRPr="004D102D" w:rsidRDefault="00F2165D" w:rsidP="00F2165D">
      <w:pPr>
        <w:rPr>
          <w:rFonts w:cs="Arial"/>
          <w:color w:val="454545"/>
          <w:szCs w:val="20"/>
          <w:lang w:val="fr-FR"/>
        </w:rPr>
      </w:pPr>
    </w:p>
    <w:p w14:paraId="0DE9562F" w14:textId="77777777" w:rsidR="00F2165D" w:rsidRPr="004D102D" w:rsidRDefault="00F2165D" w:rsidP="00F2165D">
      <w:pPr>
        <w:rPr>
          <w:szCs w:val="20"/>
        </w:rPr>
      </w:pPr>
      <w:r w:rsidRPr="004D102D">
        <w:rPr>
          <w:szCs w:val="20"/>
        </w:rPr>
        <w:t>L’OFSP met à disposition ce modèle de rapport sur le Test de solvabilité LAMal. Son utilisation n’est pas obligatoire, mais elle est recommandée pour satisfaire aux exigences du rapport.</w:t>
      </w:r>
    </w:p>
    <w:p w14:paraId="4B9C0E15" w14:textId="77777777" w:rsidR="00F2165D" w:rsidRPr="004D102D" w:rsidRDefault="00F2165D" w:rsidP="00F2165D">
      <w:pPr>
        <w:rPr>
          <w:szCs w:val="20"/>
        </w:rPr>
      </w:pPr>
    </w:p>
    <w:p w14:paraId="3CD520A2" w14:textId="1F74CF16" w:rsidR="00F953EB" w:rsidRPr="00272DC1" w:rsidRDefault="00EB4B72" w:rsidP="00F953EB">
      <w:r>
        <w:t xml:space="preserve">Cette version du modèle de rapport ne contient pas de modification majeure </w:t>
      </w:r>
      <w:r w:rsidR="00AA1A9A" w:rsidRPr="00272DC1">
        <w:t xml:space="preserve">par rapport </w:t>
      </w:r>
      <w:r w:rsidR="002C00AC">
        <w:t>à la version précédente</w:t>
      </w:r>
      <w:r>
        <w:t>.</w:t>
      </w:r>
      <w:r w:rsidR="00A743FC">
        <w:t xml:space="preserve"> La partie </w:t>
      </w:r>
      <w:r w:rsidR="00A743FC">
        <w:fldChar w:fldCharType="begin"/>
      </w:r>
      <w:r w:rsidR="00A743FC">
        <w:instrText xml:space="preserve"> REF _Ref188009060 \r \h </w:instrText>
      </w:r>
      <w:r w:rsidR="00A743FC">
        <w:fldChar w:fldCharType="separate"/>
      </w:r>
      <w:r w:rsidR="00775925">
        <w:t>4.1</w:t>
      </w:r>
      <w:r w:rsidR="00A743FC">
        <w:fldChar w:fldCharType="end"/>
      </w:r>
      <w:r w:rsidR="00A743FC">
        <w:t xml:space="preserve"> a été modifiée et un nouveau chapitre</w:t>
      </w:r>
      <w:r w:rsidR="00841697">
        <w:t xml:space="preserve"> </w:t>
      </w:r>
      <w:r w:rsidR="00A743FC">
        <w:fldChar w:fldCharType="begin"/>
      </w:r>
      <w:r w:rsidR="00A743FC">
        <w:instrText xml:space="preserve"> REF _Ref188009191 \r \h </w:instrText>
      </w:r>
      <w:r w:rsidR="00A743FC">
        <w:fldChar w:fldCharType="separate"/>
      </w:r>
      <w:r w:rsidR="00775925">
        <w:t>4.1.3</w:t>
      </w:r>
      <w:r w:rsidR="00A743FC">
        <w:fldChar w:fldCharType="end"/>
      </w:r>
      <w:r w:rsidR="00A743FC">
        <w:t xml:space="preserve"> a été ajouté regroupant le sujet du résultat d’assurance attendu.</w:t>
      </w:r>
    </w:p>
    <w:p w14:paraId="6B9AFEB0" w14:textId="77777777" w:rsidR="00AA1A9A" w:rsidRDefault="00AA1A9A" w:rsidP="00F953EB">
      <w:pPr>
        <w:rPr>
          <w:b/>
          <w:bCs/>
        </w:rPr>
      </w:pPr>
    </w:p>
    <w:p w14:paraId="1B35819F" w14:textId="77777777" w:rsidR="008C1B48" w:rsidRPr="00AE7E72" w:rsidRDefault="008C1B48" w:rsidP="00A151B9"/>
    <w:p w14:paraId="3EF1C522" w14:textId="77777777" w:rsidR="00F2165D" w:rsidRPr="004D102D" w:rsidRDefault="00F2165D" w:rsidP="00F2165D">
      <w:pPr>
        <w:pStyle w:val="Titre1"/>
      </w:pPr>
      <w:r w:rsidRPr="004D102D">
        <w:t>Résumé</w:t>
      </w:r>
    </w:p>
    <w:p w14:paraId="5C248B18" w14:textId="77777777" w:rsidR="00F2165D" w:rsidRPr="004D102D" w:rsidRDefault="00F2165D" w:rsidP="00F2165D">
      <w:pPr>
        <w:pStyle w:val="Titre2"/>
      </w:pPr>
      <w:r w:rsidRPr="004D102D">
        <w:t xml:space="preserve">Les résultats les plus importants </w:t>
      </w:r>
    </w:p>
    <w:p w14:paraId="00F902DF" w14:textId="3FDF480A" w:rsidR="00F2165D" w:rsidRPr="004D102D" w:rsidRDefault="00F2165D" w:rsidP="00F2165D">
      <w:pPr>
        <w:pStyle w:val="Paragraphedeliste"/>
        <w:numPr>
          <w:ilvl w:val="0"/>
          <w:numId w:val="3"/>
        </w:numPr>
        <w:rPr>
          <w:lang w:val="fr-CH"/>
        </w:rPr>
      </w:pPr>
      <w:r w:rsidRPr="004D102D">
        <w:rPr>
          <w:lang w:val="fr-CH"/>
        </w:rPr>
        <w:t xml:space="preserve">Les résultats les plus importants (tout au moins les réserves LAMal disponibles, </w:t>
      </w:r>
      <w:r w:rsidR="003760E1">
        <w:rPr>
          <w:lang w:val="fr-CH"/>
        </w:rPr>
        <w:t>le niveau minimal des réserves</w:t>
      </w:r>
      <w:r w:rsidRPr="004D102D">
        <w:rPr>
          <w:lang w:val="fr-CH"/>
        </w:rPr>
        <w:t xml:space="preserve"> </w:t>
      </w:r>
      <w:r w:rsidR="003760E1">
        <w:rPr>
          <w:lang w:val="fr-CH"/>
        </w:rPr>
        <w:t>LAMal, taux de solvabilité</w:t>
      </w:r>
      <w:r w:rsidRPr="004D102D">
        <w:rPr>
          <w:lang w:val="fr-CH"/>
        </w:rPr>
        <w:t>).</w:t>
      </w:r>
    </w:p>
    <w:p w14:paraId="6BEFCEBF" w14:textId="73DB6C30" w:rsidR="00F2165D" w:rsidRPr="004D102D" w:rsidRDefault="00F2165D" w:rsidP="00F2165D">
      <w:pPr>
        <w:pStyle w:val="Paragraphedeliste"/>
        <w:numPr>
          <w:ilvl w:val="0"/>
          <w:numId w:val="3"/>
        </w:numPr>
        <w:rPr>
          <w:lang w:val="fr-CH"/>
        </w:rPr>
      </w:pPr>
      <w:r w:rsidRPr="004D102D">
        <w:rPr>
          <w:lang w:val="fr-CH"/>
        </w:rPr>
        <w:t xml:space="preserve">Les changements </w:t>
      </w:r>
      <w:r w:rsidR="00E84F05">
        <w:rPr>
          <w:lang w:val="fr-CH"/>
        </w:rPr>
        <w:t xml:space="preserve">majeurs </w:t>
      </w:r>
      <w:r w:rsidRPr="004D102D">
        <w:rPr>
          <w:lang w:val="fr-CH"/>
        </w:rPr>
        <w:t xml:space="preserve">par rapport à l’année précédente et les raisons </w:t>
      </w:r>
      <w:r w:rsidR="003760E1">
        <w:rPr>
          <w:lang w:val="fr-CH"/>
        </w:rPr>
        <w:t>de ces changements</w:t>
      </w:r>
      <w:r w:rsidRPr="004D102D">
        <w:rPr>
          <w:lang w:val="fr-CH"/>
        </w:rPr>
        <w:t>.</w:t>
      </w:r>
    </w:p>
    <w:p w14:paraId="69DB55E5" w14:textId="77777777" w:rsidR="00F2165D" w:rsidRPr="004D102D" w:rsidRDefault="00F2165D" w:rsidP="00F2165D">
      <w:pPr>
        <w:numPr>
          <w:ilvl w:val="0"/>
          <w:numId w:val="3"/>
        </w:numPr>
      </w:pPr>
      <w:r w:rsidRPr="004D102D">
        <w:t>Explications portant sur les risques pris et sur la capacité de l'assureur à assumer ces risques (risques confirmés et inattendus du point de vue de l'assureur).</w:t>
      </w:r>
    </w:p>
    <w:p w14:paraId="1E7B15C6" w14:textId="77777777" w:rsidR="00F2165D" w:rsidRPr="004D102D" w:rsidRDefault="00F2165D" w:rsidP="00F2165D">
      <w:pPr>
        <w:numPr>
          <w:ilvl w:val="0"/>
          <w:numId w:val="3"/>
        </w:numPr>
      </w:pPr>
      <w:r w:rsidRPr="004D102D">
        <w:t xml:space="preserve">Autres remarques. </w:t>
      </w:r>
    </w:p>
    <w:p w14:paraId="72FF0FC3" w14:textId="77777777" w:rsidR="00F2165D" w:rsidRPr="004D102D" w:rsidRDefault="00F2165D" w:rsidP="00F2165D">
      <w:pPr>
        <w:pStyle w:val="Titre2"/>
      </w:pPr>
      <w:r w:rsidRPr="004D102D">
        <w:t>Mesures</w:t>
      </w:r>
    </w:p>
    <w:p w14:paraId="3E0CACF1" w14:textId="7BED1113" w:rsidR="00F2165D" w:rsidRPr="004D102D" w:rsidRDefault="005069C2" w:rsidP="00F2165D">
      <w:pPr>
        <w:numPr>
          <w:ilvl w:val="0"/>
          <w:numId w:val="4"/>
        </w:numPr>
      </w:pPr>
      <w:r>
        <w:t>Lorsque les e</w:t>
      </w:r>
      <w:r w:rsidR="00F2165D" w:rsidRPr="004D102D">
        <w:t xml:space="preserve">xigences du Test de solvabilité LAMal </w:t>
      </w:r>
      <w:r>
        <w:t>ne sont pas</w:t>
      </w:r>
      <w:r w:rsidRPr="004D102D">
        <w:t xml:space="preserve"> </w:t>
      </w:r>
      <w:r w:rsidR="00F2165D" w:rsidRPr="004D102D">
        <w:t>remplies</w:t>
      </w:r>
      <w:r w:rsidR="00D90498">
        <w:t xml:space="preserve"> </w:t>
      </w:r>
      <w:r w:rsidR="00F2165D" w:rsidRPr="004D102D">
        <w:t>: les mesures prises pour la reconstitution des réserves</w:t>
      </w:r>
      <w:r>
        <w:t xml:space="preserve"> obligatoires</w:t>
      </w:r>
      <w:r w:rsidR="00F2165D" w:rsidRPr="004D102D">
        <w:t>.</w:t>
      </w:r>
    </w:p>
    <w:p w14:paraId="07537232" w14:textId="77777777" w:rsidR="00F2165D" w:rsidRPr="004D102D" w:rsidRDefault="00F2165D" w:rsidP="00F2165D">
      <w:pPr>
        <w:numPr>
          <w:ilvl w:val="0"/>
          <w:numId w:val="4"/>
        </w:numPr>
      </w:pPr>
      <w:r w:rsidRPr="004D102D">
        <w:t>Autres remarques.</w:t>
      </w:r>
    </w:p>
    <w:p w14:paraId="27509712" w14:textId="77777777" w:rsidR="00F2165D" w:rsidRPr="004D102D" w:rsidRDefault="0060516A" w:rsidP="00F2165D">
      <w:pPr>
        <w:pStyle w:val="Titre2"/>
      </w:pPr>
      <w:r w:rsidRPr="004D102D">
        <w:lastRenderedPageBreak/>
        <w:t>Portefeuille d'assurance</w:t>
      </w:r>
      <w:r w:rsidR="00F2165D" w:rsidRPr="004D102D">
        <w:t xml:space="preserve"> </w:t>
      </w:r>
    </w:p>
    <w:p w14:paraId="59C05C23" w14:textId="7E3F189A" w:rsidR="00F2165D" w:rsidRPr="004D102D" w:rsidRDefault="00F2165D" w:rsidP="00F2165D">
      <w:r w:rsidRPr="004D102D">
        <w:t>Description succincte du contenu du portefeuille d'assurances pratiquées par l'entreprise (l'entité juridique)</w:t>
      </w:r>
      <w:r w:rsidR="00BF6961">
        <w:t xml:space="preserve"> </w:t>
      </w:r>
      <w:r w:rsidRPr="004D102D">
        <w:t>: des branches d'assurances LAMal et LAA celles dépendantes d'autres lois, avec mention des volumes, de la structure des risques, de la réassurance active et/ou passive.</w:t>
      </w:r>
      <w:r w:rsidR="00904B2B">
        <w:t xml:space="preserve"> Si l’assurance est offerte au Liechtenstein, des informations doivent être fournies.</w:t>
      </w:r>
    </w:p>
    <w:p w14:paraId="439B994F" w14:textId="77777777" w:rsidR="0060516A" w:rsidRPr="004D102D" w:rsidRDefault="0060516A" w:rsidP="00F2165D"/>
    <w:p w14:paraId="05A1927C" w14:textId="7D5BBE14" w:rsidR="001350F3" w:rsidRPr="001350F3" w:rsidRDefault="0060516A">
      <w:r w:rsidRPr="004D102D">
        <w:t>En cas d’exploitation de l’assurance-maladie complémentaire à risque propre (ainsi surveillé par la FINMA, ne concerne pas les entreprises qui proposent des assurances complémentaires en tant qu’intermédiaire) : mentionner des éventuels problèmes financiers ou opérationnels dans le domaine LCA (par ex. concernant les provisions de vieillissement).</w:t>
      </w:r>
      <w:r w:rsidR="00F57CDB" w:rsidRPr="00F57CDB">
        <w:t xml:space="preserve"> </w:t>
      </w:r>
    </w:p>
    <w:p w14:paraId="3969B1D7" w14:textId="77777777" w:rsidR="00F2165D" w:rsidRPr="004D102D" w:rsidRDefault="00F2165D" w:rsidP="00F2165D">
      <w:pPr>
        <w:pStyle w:val="Titre2"/>
      </w:pPr>
      <w:r w:rsidRPr="004D102D">
        <w:t xml:space="preserve">Portefeuille des placements </w:t>
      </w:r>
    </w:p>
    <w:p w14:paraId="0B70F00B" w14:textId="770DF76C" w:rsidR="001350F3" w:rsidRPr="001350F3" w:rsidRDefault="00F2165D">
      <w:r w:rsidRPr="004D102D">
        <w:t>Description succincte du contenu du portefeuille des placements détenus par l'entreprise (l'entité juridique)</w:t>
      </w:r>
      <w:r w:rsidR="00D90498">
        <w:t xml:space="preserve"> </w:t>
      </w:r>
      <w:r w:rsidRPr="004D102D">
        <w:t>: points forts, stratégie, volume, risques.</w:t>
      </w:r>
      <w:r w:rsidR="001350F3">
        <w:t xml:space="preserve"> </w:t>
      </w:r>
      <w:r w:rsidR="00287A7C">
        <w:t xml:space="preserve">En cas de fortes pertes </w:t>
      </w:r>
      <w:r w:rsidR="00BF6961">
        <w:t>l’année précédente</w:t>
      </w:r>
      <w:r w:rsidR="00287A7C">
        <w:t>, explications des pertes par classes d’actifs</w:t>
      </w:r>
      <w:r w:rsidR="003837CD">
        <w:t xml:space="preserve"> et conséquences pour le portefeuille </w:t>
      </w:r>
      <w:r w:rsidR="00BF6961">
        <w:t>actuel</w:t>
      </w:r>
      <w:r w:rsidR="003837CD">
        <w:t>.</w:t>
      </w:r>
    </w:p>
    <w:p w14:paraId="4E9397BA" w14:textId="77777777" w:rsidR="00F2165D" w:rsidRPr="004D102D" w:rsidRDefault="00F2165D" w:rsidP="00F2165D">
      <w:pPr>
        <w:pStyle w:val="Titre1"/>
      </w:pPr>
      <w:r w:rsidRPr="004D102D">
        <w:t>Application des éléments fondamentaux</w:t>
      </w:r>
    </w:p>
    <w:p w14:paraId="0F309DB4" w14:textId="77777777" w:rsidR="00F2165D" w:rsidRPr="004D102D" w:rsidRDefault="00F2165D" w:rsidP="00F2165D">
      <w:r w:rsidRPr="004D102D">
        <w:t xml:space="preserve">Description des principales méthodes utilisées (sources des données, définitions, hypothèses, évaluations, etc.) en regard des risques d'assurance et de marché. La mention des changements par rapport au </w:t>
      </w:r>
      <w:r w:rsidRPr="004D102D">
        <w:rPr>
          <w:szCs w:val="20"/>
        </w:rPr>
        <w:t>Test de solvabilité de l’année dernière.</w:t>
      </w:r>
    </w:p>
    <w:p w14:paraId="571EC1C7" w14:textId="77777777" w:rsidR="00F2165D" w:rsidRPr="004D102D" w:rsidRDefault="00F2165D" w:rsidP="00F2165D">
      <w:pPr>
        <w:pStyle w:val="Titre1"/>
      </w:pPr>
      <w:bookmarkStart w:id="0" w:name="OLE_LINK2"/>
      <w:r w:rsidRPr="004D102D">
        <w:t xml:space="preserve">Réserves disponibles </w:t>
      </w:r>
    </w:p>
    <w:p w14:paraId="51FCE2C2" w14:textId="77777777" w:rsidR="00F2165D" w:rsidRPr="004D102D" w:rsidRDefault="00F2165D" w:rsidP="00F2165D">
      <w:r w:rsidRPr="004D102D">
        <w:t>Montant et remarques concernant les réserves disponibles. La composition des réserves disponibles. Rapport entre les réserves statutaires (capital propre) et les réserves évaluées. Comparatif, entre le montant du capital propre et celui des réserves disponibles quand l'un diffère de l'autre.</w:t>
      </w:r>
    </w:p>
    <w:bookmarkEnd w:id="0"/>
    <w:p w14:paraId="6D9402CB" w14:textId="77777777" w:rsidR="00F2165D" w:rsidRPr="004D102D" w:rsidRDefault="00F2165D" w:rsidP="00F2165D">
      <w:pPr>
        <w:pStyle w:val="Titre2"/>
      </w:pPr>
      <w:r w:rsidRPr="004D102D">
        <w:t xml:space="preserve">Transformation du bilan statutaire en bilan proche du marché </w:t>
      </w:r>
    </w:p>
    <w:p w14:paraId="623C092D" w14:textId="77777777" w:rsidR="00F2165D" w:rsidRPr="004D102D" w:rsidRDefault="00F2165D" w:rsidP="00F2165D">
      <w:r w:rsidRPr="004D102D">
        <w:t xml:space="preserve">Aperçu des différences, justifications. </w:t>
      </w:r>
    </w:p>
    <w:p w14:paraId="3438DEB0" w14:textId="77777777" w:rsidR="00F2165D" w:rsidRPr="004D102D" w:rsidRDefault="00F2165D" w:rsidP="00F2165D">
      <w:pPr>
        <w:pStyle w:val="Titre2"/>
      </w:pPr>
      <w:r w:rsidRPr="004D102D">
        <w:t>Répercussions du passage d'un exercice à l'autre</w:t>
      </w:r>
    </w:p>
    <w:p w14:paraId="04C3C987" w14:textId="77777777" w:rsidR="00F2165D" w:rsidRPr="004D102D" w:rsidRDefault="00F2165D" w:rsidP="00F2165D">
      <w:r w:rsidRPr="004D102D">
        <w:t xml:space="preserve">Aperçu des différences (Bilan proche du marché au 1 janvier de l'exercice en cours versus celui du 31 décembre de l'exercice précédent). Justifications. </w:t>
      </w:r>
    </w:p>
    <w:p w14:paraId="6616ED5F" w14:textId="77777777" w:rsidR="00F2165D" w:rsidRPr="004D102D" w:rsidRDefault="00F2165D" w:rsidP="00F2165D">
      <w:pPr>
        <w:pStyle w:val="Titre2"/>
      </w:pPr>
      <w:r w:rsidRPr="004D102D">
        <w:t xml:space="preserve">Valeur proche du marché des actifs </w:t>
      </w:r>
    </w:p>
    <w:p w14:paraId="189D5198" w14:textId="77777777" w:rsidR="00F2165D" w:rsidRPr="004D102D" w:rsidRDefault="00F2165D" w:rsidP="00F2165D">
      <w:r w:rsidRPr="004D102D">
        <w:t>Aperçu des actifs (Montants, composition).</w:t>
      </w:r>
    </w:p>
    <w:p w14:paraId="66500643" w14:textId="77777777" w:rsidR="00F2165D" w:rsidRPr="004D102D" w:rsidRDefault="00F2165D" w:rsidP="00F2165D">
      <w:pPr>
        <w:pStyle w:val="Titre3"/>
      </w:pPr>
      <w:r w:rsidRPr="004D102D">
        <w:lastRenderedPageBreak/>
        <w:t xml:space="preserve">Méthodes appliquées </w:t>
      </w:r>
    </w:p>
    <w:p w14:paraId="270D3493" w14:textId="20366F4F" w:rsidR="00F2165D" w:rsidRPr="004D102D" w:rsidRDefault="00F2165D" w:rsidP="00F2165D">
      <w:pPr>
        <w:numPr>
          <w:ilvl w:val="0"/>
          <w:numId w:val="5"/>
        </w:numPr>
      </w:pPr>
      <w:r w:rsidRPr="004D102D">
        <w:t>Valeur de marché</w:t>
      </w:r>
      <w:r w:rsidR="00AE24E4">
        <w:t xml:space="preserve"> </w:t>
      </w:r>
      <w:r w:rsidRPr="004D102D">
        <w:t>: avoirs pour lesquels des valeurs de marché ont été appliquées.</w:t>
      </w:r>
    </w:p>
    <w:p w14:paraId="40A6A506" w14:textId="67DE42D4" w:rsidR="00F2165D" w:rsidRPr="004D102D" w:rsidRDefault="00F2165D" w:rsidP="00F2165D">
      <w:pPr>
        <w:numPr>
          <w:ilvl w:val="0"/>
          <w:numId w:val="5"/>
        </w:numPr>
      </w:pPr>
      <w:proofErr w:type="spellStart"/>
      <w:r w:rsidRPr="004D102D">
        <w:t>Marking</w:t>
      </w:r>
      <w:proofErr w:type="spellEnd"/>
      <w:r w:rsidRPr="004D102D">
        <w:t>-to-Model</w:t>
      </w:r>
      <w:r w:rsidR="00AE24E4">
        <w:t xml:space="preserve"> </w:t>
      </w:r>
      <w:r w:rsidRPr="004D102D">
        <w:t>: avoirs pour lesquels aucune valeur de marché existe et les modèles qui ont été appliqués. Explications relatives aux modèles utilisés et concernant les paramètres.</w:t>
      </w:r>
    </w:p>
    <w:p w14:paraId="5415A4CE" w14:textId="77777777" w:rsidR="00F2165D" w:rsidRPr="004D102D" w:rsidRDefault="00F2165D" w:rsidP="00F2165D">
      <w:pPr>
        <w:numPr>
          <w:ilvl w:val="0"/>
          <w:numId w:val="5"/>
        </w:numPr>
      </w:pPr>
      <w:r w:rsidRPr="004D102D">
        <w:t>Mix de méthodes.</w:t>
      </w:r>
    </w:p>
    <w:p w14:paraId="5D605391" w14:textId="77777777" w:rsidR="00F2165D" w:rsidRPr="004D102D" w:rsidRDefault="00F2165D" w:rsidP="00F2165D">
      <w:pPr>
        <w:numPr>
          <w:ilvl w:val="0"/>
          <w:numId w:val="5"/>
        </w:numPr>
      </w:pPr>
      <w:r w:rsidRPr="004D102D">
        <w:t>Éventuels écarts dans l'évaluation de la valeur proche du marché</w:t>
      </w:r>
    </w:p>
    <w:p w14:paraId="5372CE9F" w14:textId="77777777" w:rsidR="00F2165D" w:rsidRPr="004D102D" w:rsidRDefault="00F2165D" w:rsidP="00F2165D"/>
    <w:p w14:paraId="766D87A5" w14:textId="54B6BE65" w:rsidR="00F2165D" w:rsidRPr="004D102D" w:rsidRDefault="00F2165D" w:rsidP="00F2165D">
      <w:r w:rsidRPr="004D102D">
        <w:t>Pour les assureurs, qui, dans l'entité juridique, ont d'autres affaires que celles propres à la LAMal</w:t>
      </w:r>
      <w:r w:rsidR="00AE24E4">
        <w:t xml:space="preserve"> </w:t>
      </w:r>
      <w:r w:rsidRPr="004D102D">
        <w:t>: délimitation entre les actifs relatifs à l'activité LAMal et les actifs ressortant des autres activités.</w:t>
      </w:r>
    </w:p>
    <w:p w14:paraId="62F9B5A2" w14:textId="77777777" w:rsidR="00F2165D" w:rsidRPr="004D102D" w:rsidRDefault="00F2165D" w:rsidP="00F2165D"/>
    <w:p w14:paraId="20B9E8E3" w14:textId="6358FC91" w:rsidR="00F2165D" w:rsidRPr="004D102D" w:rsidRDefault="00F2165D" w:rsidP="00F2165D">
      <w:r w:rsidRPr="004D102D">
        <w:t>Qualité des données</w:t>
      </w:r>
      <w:r w:rsidR="00AE24E4">
        <w:t xml:space="preserve"> </w:t>
      </w:r>
      <w:r w:rsidRPr="004D102D">
        <w:t>: indication de la provenance des données internes ou externes ainsi que des évaluations.</w:t>
      </w:r>
    </w:p>
    <w:p w14:paraId="1728088F" w14:textId="77777777" w:rsidR="00F2165D" w:rsidRPr="004D102D" w:rsidRDefault="00F2165D" w:rsidP="00F2165D">
      <w:pPr>
        <w:pStyle w:val="Titre3"/>
      </w:pPr>
      <w:r w:rsidRPr="004D102D">
        <w:t xml:space="preserve"> Avoirs spécifiques</w:t>
      </w:r>
    </w:p>
    <w:p w14:paraId="75DD2359" w14:textId="77777777" w:rsidR="00F2165D" w:rsidRPr="004D102D" w:rsidRDefault="00F2165D" w:rsidP="00F2165D">
      <w:r w:rsidRPr="004D102D">
        <w:t>Remarques, par exemple, sur les monnaies étrangères, participations, etc.</w:t>
      </w:r>
    </w:p>
    <w:p w14:paraId="3FA1FF86" w14:textId="77777777" w:rsidR="00F2165D" w:rsidRPr="004D102D" w:rsidRDefault="00F2165D" w:rsidP="00F2165D">
      <w:pPr>
        <w:pStyle w:val="Titre3"/>
      </w:pPr>
      <w:r w:rsidRPr="004D102D">
        <w:t>Concentration significative d'actifs</w:t>
      </w:r>
    </w:p>
    <w:p w14:paraId="44D48AA0" w14:textId="77777777" w:rsidR="00F2165D" w:rsidRPr="004D102D" w:rsidRDefault="00F2165D" w:rsidP="00F2165D">
      <w:r w:rsidRPr="004D102D">
        <w:t>Géographique, sectoriel, type de placements, débiteurs, titres, etc.</w:t>
      </w:r>
    </w:p>
    <w:p w14:paraId="28D6F8E3" w14:textId="77777777" w:rsidR="00F2165D" w:rsidRPr="004D102D" w:rsidRDefault="00F2165D" w:rsidP="00F2165D">
      <w:pPr>
        <w:pStyle w:val="Titre2"/>
      </w:pPr>
      <w:r w:rsidRPr="004D102D">
        <w:t>Best-Estimate des engagements</w:t>
      </w:r>
    </w:p>
    <w:p w14:paraId="5A16F15B" w14:textId="77777777" w:rsidR="00F2165D" w:rsidRPr="004D102D" w:rsidRDefault="00F2165D" w:rsidP="00F2165D">
      <w:r w:rsidRPr="004D102D">
        <w:t>Aperçu des engagements (Montants, composition).</w:t>
      </w:r>
    </w:p>
    <w:p w14:paraId="3DF4FB72" w14:textId="53E1828F" w:rsidR="002E57F1" w:rsidRDefault="00F2165D" w:rsidP="00272DC1">
      <w:pPr>
        <w:pStyle w:val="Titre3"/>
      </w:pPr>
      <w:r w:rsidRPr="004D102D">
        <w:t>Méthodes appliquées</w:t>
      </w:r>
    </w:p>
    <w:p w14:paraId="6E531C17" w14:textId="63A23A85" w:rsidR="002E57F1" w:rsidRPr="002E57F1" w:rsidRDefault="00F2165D" w:rsidP="00272DC1">
      <w:r w:rsidRPr="002E57F1">
        <w:t>Explications concernant le calcul du montant des engagements, hypothèses, paramètres, etc.</w:t>
      </w:r>
      <w:r w:rsidR="002E57F1">
        <w:t xml:space="preserve"> </w:t>
      </w:r>
    </w:p>
    <w:p w14:paraId="75754005" w14:textId="77777777" w:rsidR="00F2165D" w:rsidRPr="004D102D" w:rsidRDefault="00F2165D"/>
    <w:p w14:paraId="08C04A15" w14:textId="15D7B2D6" w:rsidR="00F2165D" w:rsidRPr="004D102D" w:rsidRDefault="00F2165D" w:rsidP="00F2165D">
      <w:r w:rsidRPr="004D102D">
        <w:t>Pour les assureurs, qui, dans la même entité juridique, gèrent des assurances dépendant d'autres lois que la LAMal</w:t>
      </w:r>
      <w:r w:rsidR="002E57F1">
        <w:t xml:space="preserve"> </w:t>
      </w:r>
      <w:r w:rsidRPr="004D102D">
        <w:t xml:space="preserve">: délimitation entre les engagements relatifs à l'activité LAMal et les engagements ressortant des autres assurances. </w:t>
      </w:r>
    </w:p>
    <w:p w14:paraId="53E6AD2B" w14:textId="77777777" w:rsidR="00F2165D" w:rsidRPr="004D102D" w:rsidRDefault="00F2165D" w:rsidP="00F2165D"/>
    <w:p w14:paraId="1730CB2C" w14:textId="01B2FA71" w:rsidR="00027ACB" w:rsidRDefault="00F2165D" w:rsidP="00F2165D">
      <w:r w:rsidRPr="004D102D">
        <w:t xml:space="preserve">Qualité des </w:t>
      </w:r>
      <w:r w:rsidR="002E57F1" w:rsidRPr="004D102D">
        <w:t>données ;</w:t>
      </w:r>
      <w:r w:rsidRPr="004D102D">
        <w:t xml:space="preserve"> indication sur l'emploi des données propres et des données externes.</w:t>
      </w:r>
      <w:r w:rsidR="002E57F1">
        <w:t xml:space="preserve"> </w:t>
      </w:r>
      <w:r w:rsidR="002E57F1" w:rsidRPr="0028558B">
        <w:t>Jugement porté sur les méthodes appliquées au vu de l’obligation d’une estimation selon le principe "Best-Estimate".</w:t>
      </w:r>
    </w:p>
    <w:p w14:paraId="0F1C746A" w14:textId="1513C2DE" w:rsidR="00F2165D" w:rsidRPr="004D102D" w:rsidRDefault="00F2165D" w:rsidP="00F2165D">
      <w:pPr>
        <w:pStyle w:val="Titre3"/>
      </w:pPr>
      <w:r w:rsidRPr="004D102D">
        <w:t xml:space="preserve">Engagements </w:t>
      </w:r>
      <w:r w:rsidR="002E57F1">
        <w:t>particuliers</w:t>
      </w:r>
      <w:r w:rsidR="002E57F1" w:rsidRPr="004D102D">
        <w:t xml:space="preserve"> </w:t>
      </w:r>
    </w:p>
    <w:p w14:paraId="51AAB56A" w14:textId="77777777" w:rsidR="00F2165D" w:rsidRPr="004D102D" w:rsidRDefault="00F2165D" w:rsidP="00F2165D">
      <w:r w:rsidRPr="004D102D">
        <w:t>Remarques, par exemple, sur les monnaies étrangères, participations, options incorporées, etc.</w:t>
      </w:r>
    </w:p>
    <w:p w14:paraId="1CFE721C" w14:textId="77777777" w:rsidR="00F2165D" w:rsidRPr="004D102D" w:rsidRDefault="00F2165D" w:rsidP="00F2165D">
      <w:pPr>
        <w:pStyle w:val="Titre3"/>
      </w:pPr>
      <w:r w:rsidRPr="004D102D">
        <w:t xml:space="preserve">Concentration significative d'engagements </w:t>
      </w:r>
    </w:p>
    <w:p w14:paraId="686C6467" w14:textId="77777777" w:rsidR="00F2165D" w:rsidRPr="004D102D" w:rsidRDefault="00F2165D" w:rsidP="00F2165D">
      <w:r w:rsidRPr="004D102D">
        <w:t>Cumul des risques, dépendances mutuelles, etc.</w:t>
      </w:r>
    </w:p>
    <w:p w14:paraId="2154A128" w14:textId="77777777" w:rsidR="00F2165D" w:rsidRPr="004D102D" w:rsidRDefault="00F2165D" w:rsidP="00F2165D">
      <w:pPr>
        <w:pStyle w:val="Titre2"/>
      </w:pPr>
      <w:r w:rsidRPr="004D102D">
        <w:t xml:space="preserve">Instruments relatifs aux transferts de risques </w:t>
      </w:r>
    </w:p>
    <w:p w14:paraId="46B737EC" w14:textId="77777777" w:rsidR="00F2165D" w:rsidRPr="004D102D" w:rsidRDefault="00F2165D" w:rsidP="00F2165D">
      <w:r w:rsidRPr="004D102D">
        <w:t xml:space="preserve">Description et valeurs des garanties reçues et données ainsi que d'autres instruments de transfert de risques (en particulier à l'intérieur des groupes d'assurance). Explications concernant les modèles et paramètres utilisés. </w:t>
      </w:r>
    </w:p>
    <w:p w14:paraId="7DE94201" w14:textId="77777777" w:rsidR="00F2165D" w:rsidRPr="004D102D" w:rsidRDefault="00F2165D" w:rsidP="00F2165D">
      <w:pPr>
        <w:pStyle w:val="Titre1"/>
      </w:pPr>
      <w:r w:rsidRPr="004D102D">
        <w:lastRenderedPageBreak/>
        <w:t>Le niveau minimal des réserves</w:t>
      </w:r>
    </w:p>
    <w:p w14:paraId="7896286E" w14:textId="4BD717F1" w:rsidR="00F2165D" w:rsidRPr="004D102D" w:rsidRDefault="00F2165D" w:rsidP="00F2165D">
      <w:r w:rsidRPr="004D102D">
        <w:t>Niveau et remarques concernant les réserves minimales. Composition des réserves minimales</w:t>
      </w:r>
      <w:r w:rsidR="00841697">
        <w:t xml:space="preserve"> </w:t>
      </w:r>
      <w:r w:rsidRPr="004D102D">
        <w:t>: part du risque d'assurance en rapport avec le risque de marché (Expected Shortfall), influence des scénarios (supplément sur leur agrégation par rapport au modèle analytique), Prise en compte des risques de crédit</w:t>
      </w:r>
      <w:r w:rsidRPr="004D102D">
        <w:rPr>
          <w:noProof/>
        </w:rPr>
        <w:t>.</w:t>
      </w:r>
    </w:p>
    <w:p w14:paraId="3399FEC5" w14:textId="77777777" w:rsidR="00F2165D" w:rsidRPr="004D102D" w:rsidRDefault="00F2165D" w:rsidP="00F2165D">
      <w:pPr>
        <w:pStyle w:val="Titre2"/>
      </w:pPr>
      <w:bookmarkStart w:id="1" w:name="_Ref188009060"/>
      <w:r w:rsidRPr="004D102D">
        <w:t>Risque technique d'assurance</w:t>
      </w:r>
      <w:bookmarkEnd w:id="1"/>
    </w:p>
    <w:p w14:paraId="35CF9A51" w14:textId="77777777" w:rsidR="00F2165D" w:rsidRPr="004D102D" w:rsidRDefault="00F2165D" w:rsidP="00F2165D">
      <w:r w:rsidRPr="004D102D">
        <w:t xml:space="preserve">Prière d'indiquer séparément les explications relatives aux points suivants pour chaque branche d'assurance définies par la LAMal. </w:t>
      </w:r>
    </w:p>
    <w:p w14:paraId="785FEB97" w14:textId="75674CE2" w:rsidR="00F2165D" w:rsidRPr="004D102D" w:rsidRDefault="00F2165D" w:rsidP="00F2165D">
      <w:pPr>
        <w:pStyle w:val="Titre3"/>
      </w:pPr>
      <w:r w:rsidRPr="004D102D">
        <w:t>Espérance mathématique</w:t>
      </w:r>
      <w:r w:rsidR="00DD1202">
        <w:t xml:space="preserve"> du volume des prestations</w:t>
      </w:r>
    </w:p>
    <w:p w14:paraId="666D8DDD" w14:textId="7037D4CA" w:rsidR="00F2165D" w:rsidRPr="004D102D" w:rsidRDefault="00F2165D" w:rsidP="00272DC1">
      <w:r w:rsidRPr="004D102D">
        <w:t xml:space="preserve">Description détaillée de la méthode d’estimation utilisée pour estimer les prestations </w:t>
      </w:r>
      <w:r w:rsidR="0085451D" w:rsidRPr="004D102D">
        <w:t>brutes</w:t>
      </w:r>
      <w:r w:rsidRPr="004D102D">
        <w:t xml:space="preserve"> et nettes. Indications détaillées concernant les éléments suivants : </w:t>
      </w:r>
    </w:p>
    <w:p w14:paraId="49336174" w14:textId="04D43856" w:rsidR="00DD1202" w:rsidRPr="004D102D" w:rsidRDefault="00DD1202" w:rsidP="00DD1202">
      <w:pPr>
        <w:numPr>
          <w:ilvl w:val="1"/>
          <w:numId w:val="16"/>
        </w:numPr>
        <w:ind w:left="709" w:hanging="283"/>
      </w:pPr>
      <w:r w:rsidRPr="004D102D">
        <w:t>Estimation d</w:t>
      </w:r>
      <w:r>
        <w:t xml:space="preserve">u volume des </w:t>
      </w:r>
      <w:r w:rsidRPr="004D102D">
        <w:t xml:space="preserve">prestations </w:t>
      </w:r>
      <w:r>
        <w:t xml:space="preserve">pour </w:t>
      </w:r>
      <w:r w:rsidRPr="004D102D">
        <w:t xml:space="preserve">l’année de traitement </w:t>
      </w:r>
      <w:r>
        <w:t xml:space="preserve">en cours </w:t>
      </w:r>
    </w:p>
    <w:p w14:paraId="13E83207" w14:textId="5C81FFE0" w:rsidR="00F2165D" w:rsidRPr="00467384" w:rsidRDefault="00F2165D" w:rsidP="00272DC1">
      <w:pPr>
        <w:pStyle w:val="Paragraphedeliste"/>
        <w:numPr>
          <w:ilvl w:val="1"/>
          <w:numId w:val="16"/>
        </w:numPr>
        <w:ind w:left="709" w:hanging="283"/>
      </w:pPr>
      <w:r w:rsidRPr="00272DC1">
        <w:rPr>
          <w:lang w:val="fr-CH"/>
        </w:rPr>
        <w:t>Renchérissement exogène</w:t>
      </w:r>
      <w:r w:rsidR="00DD1202">
        <w:rPr>
          <w:lang w:val="fr-CH"/>
        </w:rPr>
        <w:t xml:space="preserve"> correspondant</w:t>
      </w:r>
    </w:p>
    <w:p w14:paraId="516171C4" w14:textId="2CF1674C" w:rsidR="00CC408B" w:rsidRPr="004D102D" w:rsidRDefault="00F2165D" w:rsidP="00272DC1">
      <w:pPr>
        <w:numPr>
          <w:ilvl w:val="1"/>
          <w:numId w:val="16"/>
        </w:numPr>
        <w:ind w:left="709" w:hanging="283"/>
      </w:pPr>
      <w:r w:rsidRPr="004D102D">
        <w:t xml:space="preserve">Renchérissement </w:t>
      </w:r>
      <w:r w:rsidR="00F72032">
        <w:t xml:space="preserve">structurel </w:t>
      </w:r>
      <w:r w:rsidR="00DD1202">
        <w:t>correspondant</w:t>
      </w:r>
    </w:p>
    <w:p w14:paraId="450AF3A9" w14:textId="77777777" w:rsidR="00F2165D" w:rsidRPr="004D102D" w:rsidRDefault="00F2165D" w:rsidP="00272DC1">
      <w:pPr>
        <w:numPr>
          <w:ilvl w:val="1"/>
          <w:numId w:val="16"/>
        </w:numPr>
        <w:ind w:left="709" w:hanging="283"/>
      </w:pPr>
      <w:r w:rsidRPr="004D102D">
        <w:t>Effectif moyen (voir l’instruction d’emploi du Test de solvabilité)</w:t>
      </w:r>
    </w:p>
    <w:p w14:paraId="50326240" w14:textId="30162109" w:rsidR="00F2165D" w:rsidRPr="004D102D" w:rsidRDefault="00F2165D" w:rsidP="00272DC1">
      <w:pPr>
        <w:numPr>
          <w:ilvl w:val="1"/>
          <w:numId w:val="16"/>
        </w:numPr>
        <w:ind w:left="709" w:hanging="283"/>
      </w:pPr>
      <w:r w:rsidRPr="004D102D">
        <w:t xml:space="preserve">Si existant : </w:t>
      </w:r>
      <w:r w:rsidR="001F55BA">
        <w:t>retards de facturation</w:t>
      </w:r>
      <w:r w:rsidRPr="004D102D">
        <w:t xml:space="preserve">, </w:t>
      </w:r>
      <w:r w:rsidRPr="004D102D">
        <w:rPr>
          <w:bCs/>
        </w:rPr>
        <w:t>cas</w:t>
      </w:r>
      <w:r w:rsidRPr="004D102D">
        <w:t xml:space="preserve"> de litige </w:t>
      </w:r>
      <w:r w:rsidRPr="004D102D">
        <w:rPr>
          <w:bCs/>
        </w:rPr>
        <w:t>devant le tribunal</w:t>
      </w:r>
    </w:p>
    <w:p w14:paraId="54C4CCC6" w14:textId="77777777" w:rsidR="009D230A" w:rsidRDefault="009D230A" w:rsidP="00272DC1"/>
    <w:p w14:paraId="22AAC8E5" w14:textId="37675BB7" w:rsidR="00776F59" w:rsidRDefault="00F2165D" w:rsidP="00284F43">
      <w:r w:rsidRPr="004D102D">
        <w:t xml:space="preserve">Explication relative </w:t>
      </w:r>
      <w:r w:rsidR="00AA0422">
        <w:t xml:space="preserve">aux </w:t>
      </w:r>
      <w:r w:rsidRPr="004D102D">
        <w:t>données utilisées, leur granularité ainsi que la méthode de calcul appliquée.</w:t>
      </w:r>
    </w:p>
    <w:p w14:paraId="739D7D04" w14:textId="77777777" w:rsidR="00841697" w:rsidRDefault="00DD1202" w:rsidP="00841697">
      <w:pPr>
        <w:pStyle w:val="Titre3"/>
      </w:pPr>
      <w:r w:rsidRPr="004D102D">
        <w:t>Espérance mathématique</w:t>
      </w:r>
      <w:r>
        <w:t xml:space="preserve"> de la compensation des risques</w:t>
      </w:r>
      <w:r w:rsidR="00841697" w:rsidRPr="00841697">
        <w:t xml:space="preserve"> </w:t>
      </w:r>
    </w:p>
    <w:p w14:paraId="51BA8C75" w14:textId="77777777" w:rsidR="00841697" w:rsidRPr="004D102D" w:rsidRDefault="00841697" w:rsidP="00841697">
      <w:r w:rsidRPr="004D102D">
        <w:t>Remarques concernant l’espérance mathématique de la compensation des risques, justifications et explications relatives</w:t>
      </w:r>
    </w:p>
    <w:p w14:paraId="7CAB44C9" w14:textId="77777777" w:rsidR="00841697" w:rsidRPr="004D102D" w:rsidRDefault="00841697" w:rsidP="00841697">
      <w:pPr>
        <w:numPr>
          <w:ilvl w:val="1"/>
          <w:numId w:val="16"/>
        </w:numPr>
        <w:ind w:left="993" w:hanging="426"/>
      </w:pPr>
      <w:proofErr w:type="gramStart"/>
      <w:r w:rsidRPr="004D102D">
        <w:t>aux</w:t>
      </w:r>
      <w:proofErr w:type="gramEnd"/>
      <w:r w:rsidRPr="004D102D">
        <w:t xml:space="preserve"> effectifs attendus pour chaque groupe de risques et de PCG (</w:t>
      </w:r>
      <w:r>
        <w:t>onglet</w:t>
      </w:r>
      <w:r w:rsidRPr="004D102D">
        <w:t xml:space="preserve"> « </w:t>
      </w:r>
      <w:proofErr w:type="spellStart"/>
      <w:r w:rsidRPr="004D102D">
        <w:t>Risk_Compensation</w:t>
      </w:r>
      <w:proofErr w:type="spellEnd"/>
      <w:r w:rsidRPr="004D102D">
        <w:t> »)</w:t>
      </w:r>
    </w:p>
    <w:p w14:paraId="517ABC85" w14:textId="77777777" w:rsidR="00841697" w:rsidRPr="001B354B" w:rsidRDefault="00841697" w:rsidP="00841697">
      <w:pPr>
        <w:numPr>
          <w:ilvl w:val="1"/>
          <w:numId w:val="16"/>
        </w:numPr>
        <w:ind w:left="993" w:hanging="426"/>
      </w:pPr>
      <w:proofErr w:type="gramStart"/>
      <w:r w:rsidRPr="004D102D">
        <w:t>au</w:t>
      </w:r>
      <w:proofErr w:type="gramEnd"/>
      <w:r w:rsidRPr="004D102D">
        <w:t xml:space="preserve"> taux attendu de la compensation des risques (sans allégement pour les jeunes adultes) et de PCG (</w:t>
      </w:r>
      <w:r>
        <w:t xml:space="preserve">onglet </w:t>
      </w:r>
      <w:r w:rsidRPr="004D102D">
        <w:t>« </w:t>
      </w:r>
      <w:proofErr w:type="spellStart"/>
      <w:r w:rsidRPr="004D102D">
        <w:t>Risk_Compensation</w:t>
      </w:r>
      <w:proofErr w:type="spellEnd"/>
      <w:r w:rsidRPr="004D102D">
        <w:t> »)</w:t>
      </w:r>
    </w:p>
    <w:p w14:paraId="63661B1E" w14:textId="77777777" w:rsidR="00841697" w:rsidRPr="00A80B12" w:rsidRDefault="00841697" w:rsidP="00841697">
      <w:pPr>
        <w:pStyle w:val="Titre3"/>
      </w:pPr>
      <w:bookmarkStart w:id="2" w:name="_Ref188009191"/>
      <w:r>
        <w:t>Espérance mathématique du résultat d’assurance attendu</w:t>
      </w:r>
      <w:bookmarkEnd w:id="2"/>
    </w:p>
    <w:p w14:paraId="2B569EFC" w14:textId="77777777" w:rsidR="00EC5A6C" w:rsidRDefault="00841697" w:rsidP="00841697">
      <w:r w:rsidRPr="00EC5A6C">
        <w:t>Remarques concernant le</w:t>
      </w:r>
      <w:r w:rsidRPr="00284F43">
        <w:t xml:space="preserve"> </w:t>
      </w:r>
      <w:r w:rsidRPr="00EC5A6C">
        <w:t>résultat</w:t>
      </w:r>
      <w:r w:rsidRPr="00284F43">
        <w:t xml:space="preserve"> technique d’assurance attendu</w:t>
      </w:r>
      <w:r w:rsidRPr="00EC5A6C">
        <w:t xml:space="preserve"> </w:t>
      </w:r>
      <w:r w:rsidRPr="00284F43">
        <w:t xml:space="preserve">pour l’année </w:t>
      </w:r>
      <w:r w:rsidR="00EC5A6C" w:rsidRPr="00284F43">
        <w:t>en cours</w:t>
      </w:r>
      <w:r w:rsidRPr="00EC5A6C">
        <w:t>.</w:t>
      </w:r>
    </w:p>
    <w:p w14:paraId="5B1E8284" w14:textId="77777777" w:rsidR="00EC5A6C" w:rsidRDefault="00EC5A6C" w:rsidP="00841697"/>
    <w:p w14:paraId="03A44A44" w14:textId="1DF1ADEF" w:rsidR="00EC5A6C" w:rsidRDefault="00EC5A6C" w:rsidP="00841697">
      <w:r w:rsidRPr="00EC5A6C">
        <w:t>En</w:t>
      </w:r>
      <w:r>
        <w:t xml:space="preserve"> particulier, lorsque l’attente de résultat estimée par l’assureur (valeurs de l’onglet « </w:t>
      </w:r>
      <w:proofErr w:type="spellStart"/>
      <w:r>
        <w:t>HE_MindeshöheReserven</w:t>
      </w:r>
      <w:proofErr w:type="spellEnd"/>
      <w:r>
        <w:t xml:space="preserve">, cellules H14 et H15) diverge de l’attente de résultat estimée par l’approche comparatrice du formulaire (valeurs de l’onglet </w:t>
      </w:r>
      <w:proofErr w:type="spellStart"/>
      <w:r>
        <w:t>HE_ExpctdRes</w:t>
      </w:r>
      <w:proofErr w:type="spellEnd"/>
      <w:r>
        <w:t>, cellules F27 et F32). (Lorsque les attentes divergent de plus de 2%</w:t>
      </w:r>
      <w:r w:rsidR="004D4683">
        <w:t xml:space="preserve"> du volume de primes</w:t>
      </w:r>
      <w:r>
        <w:t>, merci de fournir systématiquement une explication sur les raisons de ces divergences)</w:t>
      </w:r>
      <w:r w:rsidR="004D4683">
        <w:t>.</w:t>
      </w:r>
    </w:p>
    <w:p w14:paraId="06ABF7FC" w14:textId="77777777" w:rsidR="00841697" w:rsidRPr="004D102D" w:rsidRDefault="00841697" w:rsidP="00841697"/>
    <w:p w14:paraId="51E8DDE8" w14:textId="261C993A" w:rsidR="00841697" w:rsidRPr="004D102D" w:rsidRDefault="00841697" w:rsidP="00841697">
      <w:pPr>
        <w:spacing w:after="120"/>
      </w:pPr>
      <w:r w:rsidRPr="004D102D">
        <w:t xml:space="preserve">Le résultat actuariel </w:t>
      </w:r>
      <w:r>
        <w:t>par année de traitement</w:t>
      </w:r>
      <w:r w:rsidRPr="004D102D">
        <w:t xml:space="preserve"> pour les </w:t>
      </w:r>
      <w:r w:rsidR="00932CE1">
        <w:t xml:space="preserve">cinq </w:t>
      </w:r>
      <w:r w:rsidRPr="004D102D">
        <w:t xml:space="preserve">années </w:t>
      </w:r>
      <w:r w:rsidR="00932CE1">
        <w:t>précédentes</w:t>
      </w:r>
      <w:r w:rsidRPr="004D102D">
        <w:t> :</w:t>
      </w:r>
    </w:p>
    <w:tbl>
      <w:tblPr>
        <w:tblStyle w:val="Tabellenraster1"/>
        <w:tblW w:w="0" w:type="auto"/>
        <w:tblInd w:w="-5" w:type="dxa"/>
        <w:tblLook w:val="04A0" w:firstRow="1" w:lastRow="0" w:firstColumn="1" w:lastColumn="0" w:noHBand="0" w:noVBand="1"/>
      </w:tblPr>
      <w:tblGrid>
        <w:gridCol w:w="2694"/>
        <w:gridCol w:w="1134"/>
        <w:gridCol w:w="1134"/>
        <w:gridCol w:w="1134"/>
        <w:gridCol w:w="1134"/>
        <w:gridCol w:w="1134"/>
      </w:tblGrid>
      <w:tr w:rsidR="00932CE1" w:rsidRPr="004D102D" w14:paraId="0FA74151" w14:textId="77777777" w:rsidTr="00A80B12">
        <w:trPr>
          <w:trHeight w:val="340"/>
        </w:trPr>
        <w:tc>
          <w:tcPr>
            <w:tcW w:w="2694" w:type="dxa"/>
          </w:tcPr>
          <w:p w14:paraId="6D95E2C6" w14:textId="77777777" w:rsidR="00932CE1" w:rsidRPr="00272DC1" w:rsidRDefault="00932CE1" w:rsidP="00932CE1">
            <w:pPr>
              <w:rPr>
                <w:sz w:val="18"/>
                <w:szCs w:val="18"/>
              </w:rPr>
            </w:pPr>
            <w:r w:rsidRPr="00272DC1" w:rsidDel="00027ACB">
              <w:rPr>
                <w:sz w:val="18"/>
                <w:szCs w:val="18"/>
              </w:rPr>
              <w:t xml:space="preserve"> </w:t>
            </w:r>
          </w:p>
        </w:tc>
        <w:tc>
          <w:tcPr>
            <w:tcW w:w="1134" w:type="dxa"/>
          </w:tcPr>
          <w:p w14:paraId="2A29A970" w14:textId="5DD0950F" w:rsidR="00932CE1" w:rsidRPr="00272DC1" w:rsidRDefault="00932CE1" w:rsidP="00932CE1">
            <w:pPr>
              <w:rPr>
                <w:sz w:val="18"/>
                <w:szCs w:val="18"/>
              </w:rPr>
            </w:pPr>
            <w:r w:rsidRPr="00C77505">
              <w:rPr>
                <w:sz w:val="18"/>
                <w:szCs w:val="18"/>
              </w:rPr>
              <w:t>ST 20</w:t>
            </w:r>
            <w:r>
              <w:rPr>
                <w:sz w:val="18"/>
                <w:szCs w:val="18"/>
              </w:rPr>
              <w:t>20</w:t>
            </w:r>
          </w:p>
        </w:tc>
        <w:tc>
          <w:tcPr>
            <w:tcW w:w="1134" w:type="dxa"/>
          </w:tcPr>
          <w:p w14:paraId="1B55E98F" w14:textId="753C86B0" w:rsidR="00932CE1" w:rsidRPr="00272DC1" w:rsidRDefault="00932CE1" w:rsidP="00932CE1">
            <w:pPr>
              <w:rPr>
                <w:sz w:val="18"/>
                <w:szCs w:val="18"/>
              </w:rPr>
            </w:pPr>
            <w:r w:rsidRPr="00C77505">
              <w:rPr>
                <w:sz w:val="18"/>
                <w:szCs w:val="18"/>
              </w:rPr>
              <w:t>ST 20</w:t>
            </w:r>
            <w:r>
              <w:rPr>
                <w:sz w:val="18"/>
                <w:szCs w:val="18"/>
              </w:rPr>
              <w:t>21</w:t>
            </w:r>
          </w:p>
        </w:tc>
        <w:tc>
          <w:tcPr>
            <w:tcW w:w="1134" w:type="dxa"/>
          </w:tcPr>
          <w:p w14:paraId="49EDCB72" w14:textId="2C46C0B2" w:rsidR="00932CE1" w:rsidRPr="00272DC1" w:rsidRDefault="00932CE1" w:rsidP="00932CE1">
            <w:pPr>
              <w:rPr>
                <w:sz w:val="18"/>
                <w:szCs w:val="18"/>
              </w:rPr>
            </w:pPr>
            <w:r w:rsidRPr="00C77505">
              <w:rPr>
                <w:sz w:val="18"/>
                <w:szCs w:val="18"/>
              </w:rPr>
              <w:t>ST 20</w:t>
            </w:r>
            <w:r>
              <w:rPr>
                <w:sz w:val="18"/>
                <w:szCs w:val="18"/>
              </w:rPr>
              <w:t>22</w:t>
            </w:r>
          </w:p>
        </w:tc>
        <w:tc>
          <w:tcPr>
            <w:tcW w:w="1134" w:type="dxa"/>
          </w:tcPr>
          <w:p w14:paraId="42A2AC9B" w14:textId="48A05D8F" w:rsidR="00932CE1" w:rsidRPr="00272DC1" w:rsidRDefault="00932CE1" w:rsidP="00932CE1">
            <w:pPr>
              <w:rPr>
                <w:sz w:val="18"/>
                <w:szCs w:val="18"/>
              </w:rPr>
            </w:pPr>
            <w:r w:rsidRPr="00C77505">
              <w:rPr>
                <w:sz w:val="18"/>
                <w:szCs w:val="18"/>
              </w:rPr>
              <w:t>ST 20</w:t>
            </w:r>
            <w:r>
              <w:rPr>
                <w:sz w:val="18"/>
                <w:szCs w:val="18"/>
              </w:rPr>
              <w:t>23</w:t>
            </w:r>
          </w:p>
        </w:tc>
        <w:tc>
          <w:tcPr>
            <w:tcW w:w="1134" w:type="dxa"/>
          </w:tcPr>
          <w:p w14:paraId="75C48821" w14:textId="715FB3BF" w:rsidR="00932CE1" w:rsidRPr="00272DC1" w:rsidRDefault="00932CE1" w:rsidP="00932CE1">
            <w:pPr>
              <w:rPr>
                <w:sz w:val="18"/>
                <w:szCs w:val="18"/>
              </w:rPr>
            </w:pPr>
            <w:r w:rsidRPr="00C77505">
              <w:rPr>
                <w:sz w:val="18"/>
                <w:szCs w:val="18"/>
              </w:rPr>
              <w:t>ST 20</w:t>
            </w:r>
            <w:r>
              <w:rPr>
                <w:sz w:val="18"/>
                <w:szCs w:val="18"/>
              </w:rPr>
              <w:t>24</w:t>
            </w:r>
          </w:p>
        </w:tc>
      </w:tr>
      <w:tr w:rsidR="00841697" w:rsidRPr="004D102D" w14:paraId="5BC0301C" w14:textId="77777777" w:rsidTr="00A80B12">
        <w:trPr>
          <w:trHeight w:val="340"/>
        </w:trPr>
        <w:tc>
          <w:tcPr>
            <w:tcW w:w="2694" w:type="dxa"/>
          </w:tcPr>
          <w:p w14:paraId="1E81867C" w14:textId="77777777" w:rsidR="00841697" w:rsidRPr="00272DC1" w:rsidRDefault="00841697" w:rsidP="00A80B12">
            <w:pPr>
              <w:rPr>
                <w:sz w:val="18"/>
                <w:szCs w:val="18"/>
              </w:rPr>
            </w:pPr>
            <w:r w:rsidRPr="00272DC1">
              <w:rPr>
                <w:sz w:val="18"/>
                <w:szCs w:val="18"/>
              </w:rPr>
              <w:t>Attendu dans le ST</w:t>
            </w:r>
          </w:p>
        </w:tc>
        <w:tc>
          <w:tcPr>
            <w:tcW w:w="1134" w:type="dxa"/>
          </w:tcPr>
          <w:p w14:paraId="6A111684" w14:textId="77777777" w:rsidR="00841697" w:rsidRPr="00272DC1" w:rsidRDefault="00841697" w:rsidP="00A80B12">
            <w:pPr>
              <w:rPr>
                <w:sz w:val="18"/>
                <w:szCs w:val="18"/>
              </w:rPr>
            </w:pPr>
          </w:p>
        </w:tc>
        <w:tc>
          <w:tcPr>
            <w:tcW w:w="1134" w:type="dxa"/>
          </w:tcPr>
          <w:p w14:paraId="2C99AD22" w14:textId="77777777" w:rsidR="00841697" w:rsidRPr="00272DC1" w:rsidRDefault="00841697" w:rsidP="00A80B12">
            <w:pPr>
              <w:rPr>
                <w:sz w:val="18"/>
                <w:szCs w:val="18"/>
              </w:rPr>
            </w:pPr>
          </w:p>
        </w:tc>
        <w:tc>
          <w:tcPr>
            <w:tcW w:w="1134" w:type="dxa"/>
          </w:tcPr>
          <w:p w14:paraId="1E93A966" w14:textId="77777777" w:rsidR="00841697" w:rsidRPr="00272DC1" w:rsidRDefault="00841697" w:rsidP="00A80B12">
            <w:pPr>
              <w:rPr>
                <w:sz w:val="18"/>
                <w:szCs w:val="18"/>
              </w:rPr>
            </w:pPr>
          </w:p>
        </w:tc>
        <w:tc>
          <w:tcPr>
            <w:tcW w:w="1134" w:type="dxa"/>
          </w:tcPr>
          <w:p w14:paraId="21D682CD" w14:textId="77777777" w:rsidR="00841697" w:rsidRPr="00272DC1" w:rsidRDefault="00841697" w:rsidP="00A80B12">
            <w:pPr>
              <w:rPr>
                <w:sz w:val="18"/>
                <w:szCs w:val="18"/>
              </w:rPr>
            </w:pPr>
          </w:p>
        </w:tc>
        <w:tc>
          <w:tcPr>
            <w:tcW w:w="1134" w:type="dxa"/>
          </w:tcPr>
          <w:p w14:paraId="3D64B6A8" w14:textId="77777777" w:rsidR="00841697" w:rsidRPr="00272DC1" w:rsidRDefault="00841697" w:rsidP="00A80B12">
            <w:pPr>
              <w:rPr>
                <w:sz w:val="18"/>
                <w:szCs w:val="18"/>
              </w:rPr>
            </w:pPr>
          </w:p>
        </w:tc>
      </w:tr>
      <w:tr w:rsidR="00841697" w:rsidRPr="004D102D" w14:paraId="54642E88" w14:textId="77777777" w:rsidTr="00A80B12">
        <w:trPr>
          <w:trHeight w:val="340"/>
        </w:trPr>
        <w:tc>
          <w:tcPr>
            <w:tcW w:w="2694" w:type="dxa"/>
          </w:tcPr>
          <w:p w14:paraId="77027D48" w14:textId="77777777" w:rsidR="00841697" w:rsidRPr="00272DC1" w:rsidRDefault="00841697" w:rsidP="00A80B12">
            <w:pPr>
              <w:rPr>
                <w:sz w:val="18"/>
                <w:szCs w:val="18"/>
              </w:rPr>
            </w:pPr>
            <w:r w:rsidRPr="00272DC1">
              <w:rPr>
                <w:sz w:val="18"/>
                <w:szCs w:val="18"/>
              </w:rPr>
              <w:t>Réalisé effectivement *</w:t>
            </w:r>
          </w:p>
        </w:tc>
        <w:tc>
          <w:tcPr>
            <w:tcW w:w="1134" w:type="dxa"/>
          </w:tcPr>
          <w:p w14:paraId="358D2E90" w14:textId="77777777" w:rsidR="00841697" w:rsidRPr="00272DC1" w:rsidRDefault="00841697" w:rsidP="00A80B12">
            <w:pPr>
              <w:rPr>
                <w:sz w:val="18"/>
                <w:szCs w:val="18"/>
              </w:rPr>
            </w:pPr>
          </w:p>
        </w:tc>
        <w:tc>
          <w:tcPr>
            <w:tcW w:w="1134" w:type="dxa"/>
          </w:tcPr>
          <w:p w14:paraId="04402A73" w14:textId="77777777" w:rsidR="00841697" w:rsidRPr="00272DC1" w:rsidRDefault="00841697" w:rsidP="00A80B12">
            <w:pPr>
              <w:rPr>
                <w:sz w:val="18"/>
                <w:szCs w:val="18"/>
              </w:rPr>
            </w:pPr>
          </w:p>
        </w:tc>
        <w:tc>
          <w:tcPr>
            <w:tcW w:w="1134" w:type="dxa"/>
          </w:tcPr>
          <w:p w14:paraId="2CA932FA" w14:textId="77777777" w:rsidR="00841697" w:rsidRPr="00272DC1" w:rsidRDefault="00841697" w:rsidP="00A80B12">
            <w:pPr>
              <w:rPr>
                <w:sz w:val="18"/>
                <w:szCs w:val="18"/>
              </w:rPr>
            </w:pPr>
          </w:p>
        </w:tc>
        <w:tc>
          <w:tcPr>
            <w:tcW w:w="1134" w:type="dxa"/>
          </w:tcPr>
          <w:p w14:paraId="7215794F" w14:textId="77777777" w:rsidR="00841697" w:rsidRPr="00272DC1" w:rsidRDefault="00841697" w:rsidP="00A80B12">
            <w:pPr>
              <w:rPr>
                <w:sz w:val="18"/>
                <w:szCs w:val="18"/>
              </w:rPr>
            </w:pPr>
          </w:p>
        </w:tc>
        <w:tc>
          <w:tcPr>
            <w:tcW w:w="1134" w:type="dxa"/>
          </w:tcPr>
          <w:p w14:paraId="3CDBB965" w14:textId="77777777" w:rsidR="00841697" w:rsidRPr="00272DC1" w:rsidRDefault="00841697" w:rsidP="00A80B12">
            <w:pPr>
              <w:rPr>
                <w:sz w:val="18"/>
                <w:szCs w:val="18"/>
              </w:rPr>
            </w:pPr>
          </w:p>
        </w:tc>
      </w:tr>
    </w:tbl>
    <w:p w14:paraId="225A0541" w14:textId="77777777" w:rsidR="00841697" w:rsidRPr="00272DC1" w:rsidRDefault="00841697" w:rsidP="00841697">
      <w:pPr>
        <w:spacing w:before="60"/>
        <w:rPr>
          <w:i/>
          <w:iCs/>
          <w:sz w:val="18"/>
          <w:szCs w:val="18"/>
        </w:rPr>
      </w:pPr>
      <w:r w:rsidRPr="00272DC1">
        <w:rPr>
          <w:i/>
          <w:iCs/>
          <w:sz w:val="18"/>
          <w:szCs w:val="18"/>
        </w:rPr>
        <w:t xml:space="preserve">* = [KTO (300+33+35+36+37) + prestations nettes </w:t>
      </w:r>
      <w:r>
        <w:rPr>
          <w:i/>
          <w:iCs/>
          <w:sz w:val="18"/>
          <w:szCs w:val="18"/>
        </w:rPr>
        <w:t xml:space="preserve">payées </w:t>
      </w:r>
      <w:r w:rsidRPr="00272DC1">
        <w:rPr>
          <w:i/>
          <w:iCs/>
          <w:sz w:val="18"/>
          <w:szCs w:val="18"/>
        </w:rPr>
        <w:t>pour l’année de traitemen</w:t>
      </w:r>
      <w:r>
        <w:rPr>
          <w:i/>
          <w:iCs/>
          <w:sz w:val="18"/>
          <w:szCs w:val="18"/>
        </w:rPr>
        <w:t>t, c</w:t>
      </w:r>
      <w:r w:rsidRPr="00272DC1">
        <w:rPr>
          <w:i/>
          <w:iCs/>
          <w:sz w:val="18"/>
          <w:szCs w:val="18"/>
        </w:rPr>
        <w:t xml:space="preserve">orrespondant aux informations contenues dans les ABWD </w:t>
      </w:r>
      <w:r>
        <w:rPr>
          <w:i/>
          <w:iCs/>
          <w:sz w:val="18"/>
          <w:szCs w:val="18"/>
        </w:rPr>
        <w:t xml:space="preserve">+ </w:t>
      </w:r>
      <w:r w:rsidRPr="00230970">
        <w:rPr>
          <w:i/>
          <w:iCs/>
          <w:sz w:val="18"/>
          <w:szCs w:val="18"/>
        </w:rPr>
        <w:t xml:space="preserve">propre </w:t>
      </w:r>
      <w:r>
        <w:rPr>
          <w:i/>
          <w:iCs/>
          <w:sz w:val="18"/>
          <w:szCs w:val="18"/>
        </w:rPr>
        <w:t xml:space="preserve">estimation </w:t>
      </w:r>
      <w:r w:rsidRPr="00230970">
        <w:rPr>
          <w:i/>
          <w:iCs/>
          <w:sz w:val="18"/>
          <w:szCs w:val="18"/>
        </w:rPr>
        <w:t xml:space="preserve">des provisions </w:t>
      </w:r>
      <w:r>
        <w:rPr>
          <w:i/>
          <w:iCs/>
          <w:sz w:val="18"/>
          <w:szCs w:val="18"/>
        </w:rPr>
        <w:t xml:space="preserve">restantes </w:t>
      </w:r>
      <w:r w:rsidRPr="00230970">
        <w:rPr>
          <w:i/>
          <w:iCs/>
          <w:sz w:val="18"/>
          <w:szCs w:val="18"/>
        </w:rPr>
        <w:t>pour l'année</w:t>
      </w:r>
      <w:r>
        <w:rPr>
          <w:i/>
          <w:iCs/>
          <w:sz w:val="18"/>
          <w:szCs w:val="18"/>
        </w:rPr>
        <w:t xml:space="preserve"> de traitement</w:t>
      </w:r>
      <w:r w:rsidRPr="00230970">
        <w:rPr>
          <w:i/>
          <w:iCs/>
          <w:sz w:val="18"/>
          <w:szCs w:val="18"/>
        </w:rPr>
        <w:t xml:space="preserve"> concernée </w:t>
      </w:r>
      <w:r>
        <w:rPr>
          <w:i/>
          <w:iCs/>
          <w:sz w:val="18"/>
          <w:szCs w:val="18"/>
        </w:rPr>
        <w:t>+</w:t>
      </w:r>
      <w:r w:rsidRPr="00272DC1">
        <w:rPr>
          <w:i/>
          <w:iCs/>
          <w:sz w:val="18"/>
          <w:szCs w:val="18"/>
        </w:rPr>
        <w:t xml:space="preserve"> </w:t>
      </w:r>
      <w:r>
        <w:rPr>
          <w:i/>
          <w:iCs/>
          <w:sz w:val="18"/>
          <w:szCs w:val="18"/>
        </w:rPr>
        <w:t xml:space="preserve">KTO (43+44) + </w:t>
      </w:r>
      <w:r w:rsidRPr="00272DC1">
        <w:rPr>
          <w:i/>
          <w:iCs/>
          <w:sz w:val="18"/>
          <w:szCs w:val="18"/>
        </w:rPr>
        <w:t>valeurs définitives de la CdR + KTO (500+501+510+516+517+519)]</w:t>
      </w:r>
    </w:p>
    <w:p w14:paraId="72884D07" w14:textId="77777777" w:rsidR="00841697" w:rsidRPr="00272DC1" w:rsidRDefault="00841697" w:rsidP="00841697">
      <w:pPr>
        <w:spacing w:before="60"/>
        <w:rPr>
          <w:i/>
          <w:iCs/>
          <w:sz w:val="18"/>
          <w:szCs w:val="18"/>
        </w:rPr>
      </w:pPr>
      <w:r w:rsidRPr="00272DC1">
        <w:rPr>
          <w:i/>
          <w:iCs/>
          <w:sz w:val="18"/>
          <w:szCs w:val="18"/>
        </w:rPr>
        <w:lastRenderedPageBreak/>
        <w:t>Lorsque les valeurs définitives ne sont pas encore disponibles, en particulier pour les montants de la compensation des risques et des prestations nettes, fournir la meilleure estimation possible.</w:t>
      </w:r>
    </w:p>
    <w:p w14:paraId="71FFEB25" w14:textId="77777777" w:rsidR="00841697" w:rsidRDefault="00841697" w:rsidP="00841697">
      <w:pPr>
        <w:spacing w:before="60"/>
      </w:pPr>
    </w:p>
    <w:p w14:paraId="3734AD28" w14:textId="16909B53" w:rsidR="00841697" w:rsidRPr="00841697" w:rsidRDefault="00841697" w:rsidP="00284F43">
      <w:pPr>
        <w:spacing w:before="60"/>
      </w:pPr>
      <w:r>
        <w:t>Concernant le tableau ci-dessus, f</w:t>
      </w:r>
      <w:r w:rsidRPr="004D102D">
        <w:t xml:space="preserve">ournir des explications lors de différences notables entre les résultats attendus et réalisés (p.ex. dues à la compensation des risques, aux prestations) et expliquer les mesures déjà prises ou à prendre pour empêcher de telles divergences dans le futur. </w:t>
      </w:r>
    </w:p>
    <w:p w14:paraId="6C9F0A90" w14:textId="5F2B3C6B" w:rsidR="00841697" w:rsidRPr="004D102D" w:rsidRDefault="00841697" w:rsidP="00841697">
      <w:pPr>
        <w:pStyle w:val="Titre3"/>
      </w:pPr>
      <w:r w:rsidRPr="004D102D">
        <w:t>Variabilité</w:t>
      </w:r>
    </w:p>
    <w:p w14:paraId="2F605BFB" w14:textId="158BB040" w:rsidR="00F2165D" w:rsidRPr="004D102D" w:rsidRDefault="00F2165D" w:rsidP="00F2165D">
      <w:bookmarkStart w:id="3" w:name="OLE_LINK3"/>
      <w:r w:rsidRPr="004D102D">
        <w:t>Eventuelles remarques de l'assureur sur</w:t>
      </w:r>
      <w:r w:rsidR="001B354B">
        <w:t xml:space="preserve"> </w:t>
      </w:r>
      <w:r w:rsidRPr="004D102D">
        <w:t>:</w:t>
      </w:r>
      <w:bookmarkEnd w:id="3"/>
    </w:p>
    <w:p w14:paraId="1EB5722B" w14:textId="77777777" w:rsidR="00F2165D" w:rsidRPr="004D102D" w:rsidRDefault="00F2165D" w:rsidP="00F2165D">
      <w:pPr>
        <w:numPr>
          <w:ilvl w:val="0"/>
          <w:numId w:val="2"/>
        </w:numPr>
        <w:spacing w:before="120"/>
        <w:ind w:left="714" w:hanging="357"/>
      </w:pPr>
      <w:r w:rsidRPr="004D102D">
        <w:t>Coefficient de variation du sinistre individuel (avant réassurance)</w:t>
      </w:r>
    </w:p>
    <w:p w14:paraId="31E9A820" w14:textId="77777777" w:rsidR="00F2165D" w:rsidRPr="004D102D" w:rsidRDefault="00F2165D" w:rsidP="00F2165D">
      <w:pPr>
        <w:numPr>
          <w:ilvl w:val="0"/>
          <w:numId w:val="2"/>
        </w:numPr>
      </w:pPr>
      <w:r w:rsidRPr="004D102D">
        <w:t xml:space="preserve">Coefficient de variation du risque aléatoire (avant réassurance) </w:t>
      </w:r>
      <w:r w:rsidRPr="004D102D">
        <w:rPr>
          <w:rFonts w:eastAsia="Times New Roman"/>
        </w:rPr>
        <w:t>(explication relative au risque aléatoire de la LAA)</w:t>
      </w:r>
    </w:p>
    <w:p w14:paraId="6BE3988F" w14:textId="77777777" w:rsidR="00F2165D" w:rsidRPr="004D102D" w:rsidRDefault="00F2165D" w:rsidP="00F2165D">
      <w:pPr>
        <w:numPr>
          <w:ilvl w:val="0"/>
          <w:numId w:val="2"/>
        </w:numPr>
      </w:pPr>
      <w:r w:rsidRPr="004D102D">
        <w:t>Coefficient de variation du risque de paramètre (avant réassurance)</w:t>
      </w:r>
    </w:p>
    <w:p w14:paraId="156083FD" w14:textId="77777777" w:rsidR="00F2165D" w:rsidRPr="004D102D" w:rsidRDefault="00F2165D" w:rsidP="00F2165D">
      <w:pPr>
        <w:numPr>
          <w:ilvl w:val="0"/>
          <w:numId w:val="2"/>
        </w:numPr>
      </w:pPr>
      <w:r w:rsidRPr="004D102D">
        <w:t>En fonction de la grandeur de l'assureur-maladie (nombre d'assurés, nombre de malades)</w:t>
      </w:r>
    </w:p>
    <w:p w14:paraId="32B432E3" w14:textId="77777777" w:rsidR="00F2165D" w:rsidRPr="004D102D" w:rsidRDefault="00F2165D" w:rsidP="00F2165D">
      <w:pPr>
        <w:numPr>
          <w:ilvl w:val="0"/>
          <w:numId w:val="2"/>
        </w:numPr>
      </w:pPr>
      <w:r w:rsidRPr="004D102D">
        <w:t>Ecart type de la compensation des risques</w:t>
      </w:r>
    </w:p>
    <w:p w14:paraId="46110E39" w14:textId="77777777" w:rsidR="00F2165D" w:rsidRPr="004D102D" w:rsidRDefault="00F2165D" w:rsidP="00F2165D">
      <w:pPr>
        <w:pStyle w:val="Titre4"/>
      </w:pPr>
      <w:r w:rsidRPr="004D102D">
        <w:t xml:space="preserve">Réassurance passive </w:t>
      </w:r>
    </w:p>
    <w:p w14:paraId="175B7FCB" w14:textId="77777777" w:rsidR="00F2165D" w:rsidRPr="004D102D" w:rsidRDefault="00F2165D" w:rsidP="00F2165D">
      <w:r w:rsidRPr="004D102D">
        <w:t>Description des contrats conclus pour l'exercice en cours.</w:t>
      </w:r>
    </w:p>
    <w:p w14:paraId="2C42557B" w14:textId="77777777" w:rsidR="00F2165D" w:rsidRPr="004D102D" w:rsidRDefault="00F2165D" w:rsidP="00F2165D"/>
    <w:p w14:paraId="07D61525" w14:textId="19359DA1" w:rsidR="00F2165D" w:rsidRPr="004D102D" w:rsidRDefault="00F2165D" w:rsidP="00F2165D">
      <w:r w:rsidRPr="004D102D">
        <w:t>Au cas où un contrat de réassurance s'écarte des deux variantes standard</w:t>
      </w:r>
      <w:r w:rsidR="00310A83">
        <w:t>s</w:t>
      </w:r>
      <w:r w:rsidRPr="004D102D">
        <w:t xml:space="preserve"> (pas de réelle dépendance de la priorité du sinistre individuel </w:t>
      </w:r>
      <w:r w:rsidR="00310A83">
        <w:t xml:space="preserve">ou </w:t>
      </w:r>
      <w:r w:rsidRPr="004D102D">
        <w:t>de la priorité du volume des sinistres)</w:t>
      </w:r>
      <w:r w:rsidR="00310A83">
        <w:t xml:space="preserve"> </w:t>
      </w:r>
      <w:r w:rsidRPr="004D102D">
        <w:t>: argumentation concernant la manière de modéliser les paramètres (pour le coefficient de variation du sinistre individuel et/ou du coefficient de variation du risque de paramètre).</w:t>
      </w:r>
    </w:p>
    <w:p w14:paraId="3AF5EE87" w14:textId="77777777" w:rsidR="00F2165D" w:rsidRPr="004D102D" w:rsidRDefault="00F2165D" w:rsidP="00F2165D"/>
    <w:p w14:paraId="07CC92D4" w14:textId="77777777" w:rsidR="00F2165D" w:rsidRPr="004D102D" w:rsidRDefault="00F2165D" w:rsidP="00F2165D">
      <w:r w:rsidRPr="004D102D">
        <w:t xml:space="preserve">Description des effets de la réassurance passive. </w:t>
      </w:r>
    </w:p>
    <w:p w14:paraId="4E298410" w14:textId="78D268AF" w:rsidR="00F2165D" w:rsidRPr="004D102D" w:rsidRDefault="00F2165D" w:rsidP="00F2165D">
      <w:pPr>
        <w:pStyle w:val="Titre4"/>
      </w:pPr>
      <w:r w:rsidRPr="004D102D">
        <w:t xml:space="preserve">Risque aléatoire et de paramètre </w:t>
      </w:r>
    </w:p>
    <w:p w14:paraId="29BC4ABB" w14:textId="77777777" w:rsidR="00F2165D" w:rsidRPr="004D102D" w:rsidRDefault="00F2165D" w:rsidP="00F2165D">
      <w:r w:rsidRPr="004D102D">
        <w:t>Coefficient de variation des prestations annuelles (après réassurance passive).</w:t>
      </w:r>
    </w:p>
    <w:p w14:paraId="378BB782" w14:textId="77777777" w:rsidR="00F2165D" w:rsidRPr="004D102D" w:rsidRDefault="00F2165D" w:rsidP="00F2165D">
      <w:r w:rsidRPr="004D102D">
        <w:t>Ecart type du résultat actuariel (après réassurance passive).</w:t>
      </w:r>
    </w:p>
    <w:p w14:paraId="060BCC53" w14:textId="77777777" w:rsidR="00F2165D" w:rsidRPr="004D102D" w:rsidRDefault="00F2165D" w:rsidP="00F2165D"/>
    <w:p w14:paraId="0DAA3451" w14:textId="77777777" w:rsidR="00F2165D" w:rsidRPr="004D102D" w:rsidRDefault="00F2165D" w:rsidP="00F2165D">
      <w:r w:rsidRPr="004D102D">
        <w:t>Plausibilité (indication de l'adéquation) avec remarques de l'assureur.</w:t>
      </w:r>
    </w:p>
    <w:p w14:paraId="55A5C8B0" w14:textId="77777777" w:rsidR="00F2165D" w:rsidRPr="004D102D" w:rsidRDefault="00F2165D" w:rsidP="00F2165D">
      <w:pPr>
        <w:pStyle w:val="Titre2"/>
      </w:pPr>
      <w:r w:rsidRPr="004D102D">
        <w:t xml:space="preserve">Risque technique du marché financier </w:t>
      </w:r>
    </w:p>
    <w:p w14:paraId="5410E9CB" w14:textId="77777777" w:rsidR="00F2165D" w:rsidRPr="004D102D" w:rsidRDefault="00F2165D" w:rsidP="00F2165D">
      <w:pPr>
        <w:pStyle w:val="Titre3"/>
      </w:pPr>
      <w:r w:rsidRPr="004D102D">
        <w:t xml:space="preserve">Espérance mathématique </w:t>
      </w:r>
    </w:p>
    <w:p w14:paraId="27E5F321" w14:textId="77777777" w:rsidR="00F2165D" w:rsidRPr="004D102D" w:rsidRDefault="00F2165D" w:rsidP="00F2165D">
      <w:r w:rsidRPr="004D102D">
        <w:t xml:space="preserve">Montant et remarques concernant le résultat technique du marché financier attendu pour l'exercice en cours. </w:t>
      </w:r>
    </w:p>
    <w:p w14:paraId="3BACFF6C" w14:textId="77777777" w:rsidR="00F2165D" w:rsidRPr="004D102D" w:rsidRDefault="00F2165D" w:rsidP="00F2165D">
      <w:pPr>
        <w:pStyle w:val="Titre3"/>
      </w:pPr>
      <w:r w:rsidRPr="004D102D">
        <w:t>Variabilité</w:t>
      </w:r>
    </w:p>
    <w:p w14:paraId="76CFA22E" w14:textId="77777777" w:rsidR="00F2165D" w:rsidRPr="004D102D" w:rsidRDefault="00F2165D" w:rsidP="00F2165D">
      <w:r w:rsidRPr="004D102D">
        <w:t xml:space="preserve">Indications plus détaillées concernant : </w:t>
      </w:r>
    </w:p>
    <w:p w14:paraId="168DB7A6" w14:textId="77777777" w:rsidR="00F2165D" w:rsidRPr="004D102D" w:rsidRDefault="00F2165D" w:rsidP="00F2165D">
      <w:pPr>
        <w:pStyle w:val="Paragraphedeliste"/>
        <w:numPr>
          <w:ilvl w:val="0"/>
          <w:numId w:val="10"/>
        </w:numPr>
        <w:rPr>
          <w:lang w:val="fr-CH"/>
        </w:rPr>
      </w:pPr>
      <w:r w:rsidRPr="004D102D">
        <w:rPr>
          <w:lang w:val="fr-CH"/>
        </w:rPr>
        <w:t>Positions prises en compte (par exemple : quelques titres des fonds de placement).</w:t>
      </w:r>
    </w:p>
    <w:p w14:paraId="55CB1560" w14:textId="77777777" w:rsidR="00F2165D" w:rsidRPr="004D102D" w:rsidRDefault="00F2165D" w:rsidP="00F2165D">
      <w:pPr>
        <w:pStyle w:val="Paragraphedeliste"/>
        <w:numPr>
          <w:ilvl w:val="0"/>
          <w:numId w:val="10"/>
        </w:numPr>
        <w:rPr>
          <w:lang w:val="fr-CH"/>
        </w:rPr>
      </w:pPr>
      <w:r w:rsidRPr="004D102D">
        <w:rPr>
          <w:lang w:val="fr-CH"/>
        </w:rPr>
        <w:t>Attribution des placements de capitaux aux facteurs de risque (notamment les méthodes). Quant aux spreads, précisions particulières concernant les catégories BB et BBB.</w:t>
      </w:r>
    </w:p>
    <w:p w14:paraId="6AFFD4F2" w14:textId="77777777" w:rsidR="00F2165D" w:rsidRPr="004D102D" w:rsidRDefault="00F2165D" w:rsidP="00F2165D">
      <w:pPr>
        <w:pStyle w:val="Paragraphedeliste"/>
        <w:numPr>
          <w:ilvl w:val="0"/>
          <w:numId w:val="10"/>
        </w:numPr>
        <w:rPr>
          <w:lang w:val="fr-CH"/>
        </w:rPr>
      </w:pPr>
      <w:r w:rsidRPr="004D102D">
        <w:rPr>
          <w:lang w:val="fr-CH"/>
        </w:rPr>
        <w:t>Processus relatif à la détermination des valeurs saisies dans la colonne « Valeur proche du marché des actifs avec facteur de risque correspondant ».</w:t>
      </w:r>
    </w:p>
    <w:p w14:paraId="73993648" w14:textId="77777777" w:rsidR="00F2165D" w:rsidRPr="004D102D" w:rsidRDefault="00F2165D" w:rsidP="00F2165D">
      <w:pPr>
        <w:pStyle w:val="Paragraphedeliste"/>
        <w:numPr>
          <w:ilvl w:val="0"/>
          <w:numId w:val="10"/>
        </w:numPr>
        <w:rPr>
          <w:lang w:val="fr-CH"/>
        </w:rPr>
      </w:pPr>
      <w:r w:rsidRPr="004D102D">
        <w:rPr>
          <w:lang w:val="fr-CH"/>
        </w:rPr>
        <w:t>Différentes étapes (également la méthode) relatives au calcul des sensibilités.</w:t>
      </w:r>
    </w:p>
    <w:p w14:paraId="57C4576C" w14:textId="38ECF16C" w:rsidR="00F2165D" w:rsidRPr="004D102D" w:rsidRDefault="00F2165D" w:rsidP="00F2165D">
      <w:pPr>
        <w:pStyle w:val="Paragraphedeliste"/>
        <w:numPr>
          <w:ilvl w:val="0"/>
          <w:numId w:val="10"/>
        </w:numPr>
        <w:rPr>
          <w:lang w:val="fr-CH"/>
        </w:rPr>
      </w:pPr>
      <w:r w:rsidRPr="004D102D">
        <w:rPr>
          <w:lang w:val="fr-CH"/>
        </w:rPr>
        <w:lastRenderedPageBreak/>
        <w:t xml:space="preserve">Les simplifications faites et l’estimation approximative de l’impact sur le </w:t>
      </w:r>
      <w:r w:rsidR="00D75F94">
        <w:rPr>
          <w:lang w:val="fr-CH"/>
        </w:rPr>
        <w:t>taux</w:t>
      </w:r>
      <w:r w:rsidR="00D75F94" w:rsidRPr="004D102D">
        <w:rPr>
          <w:lang w:val="fr-CH"/>
        </w:rPr>
        <w:t xml:space="preserve"> </w:t>
      </w:r>
      <w:r w:rsidRPr="004D102D">
        <w:rPr>
          <w:lang w:val="fr-CH"/>
        </w:rPr>
        <w:t>de solvabilité.</w:t>
      </w:r>
    </w:p>
    <w:p w14:paraId="225AC066" w14:textId="77777777" w:rsidR="00F2165D" w:rsidRPr="004D102D" w:rsidRDefault="00F2165D" w:rsidP="00F2165D"/>
    <w:p w14:paraId="0E93CDB1" w14:textId="77777777" w:rsidR="0025798E" w:rsidRPr="004D102D" w:rsidRDefault="0025798E" w:rsidP="0025798E">
      <w:r w:rsidRPr="004D102D">
        <w:t>Concernant les placements collectifs de capitaux, par analogie, se référer au chapitre 2.7 du document « Description technique du modèle standard SST pour le risque de crédit » publié par la FINMA. Expliquer la manière dont les fonds de placement sont pris en compte. </w:t>
      </w:r>
    </w:p>
    <w:p w14:paraId="5746C176" w14:textId="77777777" w:rsidR="0025798E" w:rsidRPr="004D102D" w:rsidRDefault="0025798E" w:rsidP="00F2165D"/>
    <w:p w14:paraId="5078B49E" w14:textId="77777777" w:rsidR="00F2165D" w:rsidRPr="004D102D" w:rsidRDefault="00F2165D" w:rsidP="00F2165D">
      <w:r w:rsidRPr="004D102D">
        <w:t>Ecart type du résultat technique relatif au marché financier des placements désignés par l'assureur comme appartenant à l'assurance LAMal. Classification selon les catégories de risques (intérêts, actions, etc.).</w:t>
      </w:r>
    </w:p>
    <w:p w14:paraId="41B5E8B1" w14:textId="77777777" w:rsidR="00F2165D" w:rsidRPr="004D102D" w:rsidRDefault="00F2165D" w:rsidP="00F2165D"/>
    <w:p w14:paraId="7AAC993A" w14:textId="77777777" w:rsidR="00F2165D" w:rsidRPr="004D102D" w:rsidRDefault="00F2165D" w:rsidP="00F2165D">
      <w:r w:rsidRPr="004D102D">
        <w:t xml:space="preserve">Plausibilité (énoncé de l'adéquation) avec remarques de l'assureur. </w:t>
      </w:r>
    </w:p>
    <w:p w14:paraId="4A7F387C" w14:textId="77777777" w:rsidR="00F2165D" w:rsidRPr="004D102D" w:rsidRDefault="00F2165D" w:rsidP="00F2165D">
      <w:pPr>
        <w:pStyle w:val="Titre2"/>
      </w:pPr>
      <w:r w:rsidRPr="004D102D">
        <w:t xml:space="preserve">Scénarios </w:t>
      </w:r>
    </w:p>
    <w:p w14:paraId="0DA6D4FA" w14:textId="2F5051F6" w:rsidR="00F2165D" w:rsidRPr="004D102D" w:rsidRDefault="00D75F94" w:rsidP="00F2165D">
      <w:pPr>
        <w:pStyle w:val="Titre3"/>
      </w:pPr>
      <w:r>
        <w:t>D</w:t>
      </w:r>
      <w:r w:rsidR="00F2165D" w:rsidRPr="004D102D">
        <w:t>onnées</w:t>
      </w:r>
      <w:r>
        <w:t xml:space="preserve"> utilisées</w:t>
      </w:r>
    </w:p>
    <w:p w14:paraId="4FCEF6D7" w14:textId="77777777" w:rsidR="005F5EA4" w:rsidRDefault="00B722F0" w:rsidP="00F2165D">
      <w:r>
        <w:t>Par exemple, n</w:t>
      </w:r>
      <w:r w:rsidR="00F2165D" w:rsidRPr="004D102D">
        <w:t>ombre d'assurés, primes brutes, compensation des risques.</w:t>
      </w:r>
    </w:p>
    <w:p w14:paraId="54452BD3" w14:textId="3A8780D4" w:rsidR="00F2165D" w:rsidRPr="004D102D" w:rsidRDefault="00F2165D" w:rsidP="00F2165D">
      <w:r w:rsidRPr="004D102D">
        <w:t>Stratégie</w:t>
      </w:r>
      <w:r w:rsidR="005F5EA4">
        <w:t xml:space="preserve"> pour </w:t>
      </w:r>
      <w:r w:rsidRPr="004D102D">
        <w:t>l'exercice suivant. Méthodes employées.</w:t>
      </w:r>
    </w:p>
    <w:p w14:paraId="7CAF0F8C" w14:textId="77777777" w:rsidR="00F2165D" w:rsidRPr="004D102D" w:rsidRDefault="00F2165D" w:rsidP="00F2165D">
      <w:pPr>
        <w:pStyle w:val="Titre3"/>
      </w:pPr>
      <w:r w:rsidRPr="004D102D">
        <w:t xml:space="preserve">Résultat des scénarios </w:t>
      </w:r>
    </w:p>
    <w:p w14:paraId="62F45C27" w14:textId="72F69B65" w:rsidR="00F2165D" w:rsidRPr="004D102D" w:rsidRDefault="00F2165D" w:rsidP="00F2165D">
      <w:r w:rsidRPr="004D102D">
        <w:t xml:space="preserve">Estimation de l'assureur du montant de chaque scénario, particulièrement en ce qui concerne les scénarios désignés par l'acronyme BAG. </w:t>
      </w:r>
    </w:p>
    <w:p w14:paraId="53802C64" w14:textId="77777777" w:rsidR="00F2165D" w:rsidRPr="004D102D" w:rsidRDefault="00F2165D" w:rsidP="00F2165D">
      <w:bookmarkStart w:id="4" w:name="OLE_LINK1"/>
    </w:p>
    <w:p w14:paraId="7733EB91" w14:textId="77777777" w:rsidR="00F2165D" w:rsidRPr="004D102D" w:rsidRDefault="00F2165D" w:rsidP="00F2165D">
      <w:r w:rsidRPr="004D102D">
        <w:t xml:space="preserve">Plausibilité (énoncé de l'adéquation) avec remarques de l'assureur. </w:t>
      </w:r>
    </w:p>
    <w:bookmarkEnd w:id="4"/>
    <w:p w14:paraId="1DE10174" w14:textId="77777777" w:rsidR="00F2165D" w:rsidRPr="004D102D" w:rsidRDefault="00F2165D" w:rsidP="00F2165D">
      <w:pPr>
        <w:pStyle w:val="Titre2"/>
      </w:pPr>
      <w:r w:rsidRPr="004D102D">
        <w:t>Risque de crédit</w:t>
      </w:r>
    </w:p>
    <w:p w14:paraId="5C0188A5" w14:textId="1689D6F1" w:rsidR="00F2165D" w:rsidRPr="004D102D" w:rsidRDefault="00F2165D" w:rsidP="00F2165D">
      <w:r w:rsidRPr="004D102D">
        <w:t>Présentation du résultat relati</w:t>
      </w:r>
      <w:r w:rsidR="00D75F94">
        <w:t>f</w:t>
      </w:r>
      <w:r w:rsidRPr="004D102D">
        <w:t xml:space="preserve"> au risque de crédit. Information concernant la prise en compte du risque de crédit par rapport aux placements de capitaux (par exemple : compte en banque et compte courant de la poste, obligations : placement directs et fonds), créances envers les personnes assurées (voir l’article 64a LAMal), créances internes au groupe ainsi que les informations et résultat de la prise en compte du risque de crédit sur la base de la réassurance (liste non exhaustive).</w:t>
      </w:r>
    </w:p>
    <w:p w14:paraId="3153EF62" w14:textId="77777777" w:rsidR="008B5BF2" w:rsidRDefault="008B5BF2" w:rsidP="0025798E"/>
    <w:p w14:paraId="41E4030C" w14:textId="39BA1C90" w:rsidR="0025798E" w:rsidRPr="004D102D" w:rsidRDefault="0025798E" w:rsidP="0025798E">
      <w:r w:rsidRPr="004D102D">
        <w:t>Le compte de régularisation concernant la compensation des risques est également à prendre en compte sous la catégorie «</w:t>
      </w:r>
      <w:r w:rsidR="005F5EA4">
        <w:t xml:space="preserve"> </w:t>
      </w:r>
      <w:r w:rsidRPr="004D102D">
        <w:t xml:space="preserve">5. Communautés d’institutions » avec une pondération du risque la plus basse, c’est-à-dire 20%. Voir l’art. 19, al. 4, </w:t>
      </w:r>
      <w:proofErr w:type="spellStart"/>
      <w:r w:rsidRPr="004D102D">
        <w:t>OCoR</w:t>
      </w:r>
      <w:proofErr w:type="spellEnd"/>
      <w:r w:rsidRPr="004D102D">
        <w:t xml:space="preserve"> concernant le risque d’une possible réduction du montant.</w:t>
      </w:r>
    </w:p>
    <w:p w14:paraId="6355CCC8" w14:textId="77777777" w:rsidR="0025798E" w:rsidRPr="004D102D" w:rsidRDefault="0025798E" w:rsidP="00F2165D"/>
    <w:p w14:paraId="6D9E044C" w14:textId="77777777" w:rsidR="00F2165D" w:rsidRPr="004D102D" w:rsidRDefault="00F2165D" w:rsidP="00F2165D">
      <w:r w:rsidRPr="004D102D">
        <w:t>Pour chaque poste du bilan chargé d’un risque de crédit, démontrer au moyen d’un tableau sous quelle position ceux-ci sont saisis :</w:t>
      </w:r>
    </w:p>
    <w:p w14:paraId="6217CA2C" w14:textId="77777777" w:rsidR="00F2165D" w:rsidRPr="004D102D" w:rsidRDefault="00F2165D" w:rsidP="00F2165D">
      <w:pPr>
        <w:pStyle w:val="Paragraphedeliste"/>
        <w:numPr>
          <w:ilvl w:val="0"/>
          <w:numId w:val="11"/>
        </w:numPr>
        <w:rPr>
          <w:lang w:val="fr-CH"/>
        </w:rPr>
      </w:pPr>
      <w:r w:rsidRPr="004D102D">
        <w:rPr>
          <w:lang w:val="fr-CH"/>
        </w:rPr>
        <w:t>Dans le bilan révisé du rapport annuel des comptes (numéro du compte),</w:t>
      </w:r>
    </w:p>
    <w:p w14:paraId="45B3EFD9" w14:textId="07646F62" w:rsidR="00F2165D" w:rsidRPr="004D102D" w:rsidRDefault="00F2165D" w:rsidP="00F2165D">
      <w:pPr>
        <w:pStyle w:val="Paragraphedeliste"/>
        <w:numPr>
          <w:ilvl w:val="0"/>
          <w:numId w:val="11"/>
        </w:numPr>
        <w:rPr>
          <w:lang w:val="fr-CH"/>
        </w:rPr>
      </w:pPr>
      <w:proofErr w:type="gramStart"/>
      <w:r w:rsidRPr="004D102D">
        <w:rPr>
          <w:lang w:val="fr-CH"/>
        </w:rPr>
        <w:t>dans</w:t>
      </w:r>
      <w:proofErr w:type="gramEnd"/>
      <w:r w:rsidRPr="004D102D">
        <w:rPr>
          <w:lang w:val="fr-CH"/>
        </w:rPr>
        <w:t xml:space="preserve"> le bilan proche du marché (position dans </w:t>
      </w:r>
      <w:r w:rsidR="005F5EA4">
        <w:rPr>
          <w:lang w:val="fr-CH"/>
        </w:rPr>
        <w:t xml:space="preserve">l’onglet </w:t>
      </w:r>
      <w:r w:rsidRPr="004D102D">
        <w:rPr>
          <w:lang w:val="fr-CH"/>
        </w:rPr>
        <w:t>«</w:t>
      </w:r>
      <w:proofErr w:type="spellStart"/>
      <w:r w:rsidRPr="004D102D">
        <w:rPr>
          <w:lang w:val="fr-CH"/>
        </w:rPr>
        <w:t>BewDifferenzen_Statut-Marktnah</w:t>
      </w:r>
      <w:proofErr w:type="spellEnd"/>
      <w:r w:rsidRPr="004D102D">
        <w:rPr>
          <w:lang w:val="fr-CH"/>
        </w:rPr>
        <w:t>») et</w:t>
      </w:r>
    </w:p>
    <w:p w14:paraId="230526F5" w14:textId="3311A5AB" w:rsidR="00F2165D" w:rsidRPr="004D102D" w:rsidRDefault="00F2165D" w:rsidP="00F2165D">
      <w:pPr>
        <w:pStyle w:val="Paragraphedeliste"/>
        <w:numPr>
          <w:ilvl w:val="0"/>
          <w:numId w:val="11"/>
        </w:numPr>
        <w:rPr>
          <w:lang w:val="fr-CH"/>
        </w:rPr>
      </w:pPr>
      <w:proofErr w:type="gramStart"/>
      <w:r w:rsidRPr="004D102D">
        <w:rPr>
          <w:lang w:val="fr-CH"/>
        </w:rPr>
        <w:t>dans</w:t>
      </w:r>
      <w:proofErr w:type="gramEnd"/>
      <w:r w:rsidRPr="004D102D">
        <w:rPr>
          <w:lang w:val="fr-CH"/>
        </w:rPr>
        <w:t xml:space="preserve"> l</w:t>
      </w:r>
      <w:r w:rsidR="005F5EA4">
        <w:rPr>
          <w:lang w:val="fr-CH"/>
        </w:rPr>
        <w:t>’onglet</w:t>
      </w:r>
      <w:r w:rsidRPr="004D102D">
        <w:rPr>
          <w:lang w:val="fr-CH"/>
        </w:rPr>
        <w:t xml:space="preserve"> « Input Basel III » (rubrique et classe de rating).</w:t>
      </w:r>
    </w:p>
    <w:p w14:paraId="17B457A7" w14:textId="77777777" w:rsidR="00F2165D" w:rsidRPr="004D102D" w:rsidRDefault="00F2165D" w:rsidP="00F2165D">
      <w:pPr>
        <w:rPr>
          <w:rStyle w:val="tlid-translation"/>
        </w:rPr>
      </w:pPr>
    </w:p>
    <w:p w14:paraId="7C93628D" w14:textId="77777777" w:rsidR="0025798E" w:rsidRPr="004D102D" w:rsidRDefault="0025798E" w:rsidP="0025798E">
      <w:r w:rsidRPr="004D102D">
        <w:t>Les placements collectifs de capitaux doivent être, lorsque c’est possible, divisés en éléments qui les constituent, lesquels sont ensuite pris en compte dans le modèle des risques de crédit (voir chapitre 2.7 du document « Description technique du modèle standard SST pour le risque de crédit » publié par la FINMA). Expliquer la saisie et la pondération des fonds de placements.</w:t>
      </w:r>
    </w:p>
    <w:p w14:paraId="3D38C6F7" w14:textId="77777777" w:rsidR="0025798E" w:rsidRPr="004D102D" w:rsidRDefault="0025798E" w:rsidP="00F2165D">
      <w:pPr>
        <w:rPr>
          <w:rStyle w:val="tlid-translation"/>
        </w:rPr>
      </w:pPr>
    </w:p>
    <w:p w14:paraId="4635C26E" w14:textId="77777777" w:rsidR="00F2165D" w:rsidRPr="004D102D" w:rsidRDefault="00F2165D" w:rsidP="00F2165D">
      <w:pPr>
        <w:rPr>
          <w:rStyle w:val="tlid-translation"/>
        </w:rPr>
      </w:pPr>
      <w:r w:rsidRPr="004D102D">
        <w:rPr>
          <w:rStyle w:val="tlid-translation"/>
        </w:rPr>
        <w:t xml:space="preserve">Veuillez vérifier que toutes les positions comportant un risque de crédit qui ne sont pas notées par une </w:t>
      </w:r>
      <w:r w:rsidRPr="004D102D">
        <w:rPr>
          <w:rStyle w:val="tlid-translation"/>
        </w:rPr>
        <w:lastRenderedPageBreak/>
        <w:t>société de notation reconnue possèdent bien une note « non-rating ».</w:t>
      </w:r>
    </w:p>
    <w:p w14:paraId="1770C17E" w14:textId="77777777" w:rsidR="00F2165D" w:rsidRPr="004D102D" w:rsidRDefault="00F2165D" w:rsidP="00F2165D">
      <w:pPr>
        <w:rPr>
          <w:rStyle w:val="tlid-translation"/>
        </w:rPr>
      </w:pPr>
    </w:p>
    <w:p w14:paraId="5BBBB5D8" w14:textId="77777777" w:rsidR="00F2165D" w:rsidRPr="004D102D" w:rsidRDefault="00F2165D" w:rsidP="00F2165D">
      <w:r w:rsidRPr="004D102D">
        <w:t xml:space="preserve">Plausibilité (énoncé de l'adéquation) avec remarques de l'assureur. </w:t>
      </w:r>
    </w:p>
    <w:p w14:paraId="4B3C0CB7" w14:textId="77777777" w:rsidR="00F2165D" w:rsidRPr="004D102D" w:rsidRDefault="00F2165D" w:rsidP="00F2165D">
      <w:pPr>
        <w:pStyle w:val="Titre1"/>
      </w:pPr>
      <w:r w:rsidRPr="004D102D">
        <w:t xml:space="preserve">Autres risques </w:t>
      </w:r>
    </w:p>
    <w:p w14:paraId="59C09BE0" w14:textId="77777777" w:rsidR="00F2165D" w:rsidRPr="004D102D" w:rsidRDefault="00F2165D" w:rsidP="00F2165D">
      <w:pPr>
        <w:pStyle w:val="Titre2"/>
      </w:pPr>
      <w:r w:rsidRPr="004D102D">
        <w:t>Description des risques qui n'influent pas sur le niveau minimal des réserves LAMal</w:t>
      </w:r>
    </w:p>
    <w:p w14:paraId="4D28C095" w14:textId="2DDD6ED1" w:rsidR="00F2165D" w:rsidRPr="004D102D" w:rsidRDefault="00F2165D" w:rsidP="00F2165D">
      <w:pPr>
        <w:ind w:hanging="9"/>
      </w:pPr>
      <w:r w:rsidRPr="004D102D">
        <w:t>Par exemple</w:t>
      </w:r>
      <w:r w:rsidR="008439C2">
        <w:t xml:space="preserve"> </w:t>
      </w:r>
      <w:r w:rsidRPr="004D102D">
        <w:t xml:space="preserve">: risques d'assurance, de marché, de </w:t>
      </w:r>
      <w:proofErr w:type="gramStart"/>
      <w:r w:rsidRPr="004D102D">
        <w:t>crédit relatifs</w:t>
      </w:r>
      <w:proofErr w:type="gramEnd"/>
      <w:r w:rsidRPr="004D102D">
        <w:t xml:space="preserve"> aux assurances selon LCA et/ou LAA</w:t>
      </w:r>
      <w:r w:rsidR="00904B2B">
        <w:t>, et/ou Liechtenstein</w:t>
      </w:r>
      <w:r w:rsidRPr="004D102D">
        <w:t>.</w:t>
      </w:r>
    </w:p>
    <w:p w14:paraId="2F70F6A9" w14:textId="77777777" w:rsidR="00F2165D" w:rsidRPr="004D102D" w:rsidRDefault="00F2165D" w:rsidP="00F2165D">
      <w:pPr>
        <w:pStyle w:val="Titre2"/>
      </w:pPr>
      <w:r w:rsidRPr="004D102D">
        <w:t xml:space="preserve">Risques opérationnels </w:t>
      </w:r>
    </w:p>
    <w:p w14:paraId="1BB385C4" w14:textId="2C52B7F5" w:rsidR="00F2165D" w:rsidRPr="004D102D" w:rsidRDefault="00F2165D" w:rsidP="00F2165D">
      <w:pPr>
        <w:ind w:hanging="9"/>
      </w:pPr>
      <w:r w:rsidRPr="004D102D">
        <w:t>Risques étant la conséquence de l'inadéquation ou du non respect des procédures internes, du facteur humain (par exemple</w:t>
      </w:r>
      <w:r w:rsidR="008439C2">
        <w:t xml:space="preserve"> </w:t>
      </w:r>
      <w:r w:rsidRPr="004D102D">
        <w:t>: escroquerie, erreurs de management) et des systèmes (l'infrastructure). Remarques du Risk</w:t>
      </w:r>
      <w:r w:rsidR="00E76C26">
        <w:t xml:space="preserve"> </w:t>
      </w:r>
      <w:r w:rsidRPr="004D102D">
        <w:t>management (mesures pour minimiser ces risques). Risques régulés par un organisme étatique, par la concurrence, risque de réputation, risque environnemental, etc.)</w:t>
      </w:r>
    </w:p>
    <w:p w14:paraId="511F77E9" w14:textId="22F12344" w:rsidR="00F2165D" w:rsidRPr="004D102D" w:rsidRDefault="00F2165D" w:rsidP="00F2165D">
      <w:pPr>
        <w:pStyle w:val="Titre2"/>
        <w:rPr>
          <w:szCs w:val="30"/>
        </w:rPr>
      </w:pPr>
      <w:r w:rsidRPr="004D102D">
        <w:t>Evénements surven</w:t>
      </w:r>
      <w:r w:rsidR="00E76C26">
        <w:t>us</w:t>
      </w:r>
      <w:r w:rsidRPr="004D102D">
        <w:t xml:space="preserve"> après le 1</w:t>
      </w:r>
      <w:r w:rsidRPr="004D102D">
        <w:rPr>
          <w:vertAlign w:val="superscript"/>
        </w:rPr>
        <w:t>er</w:t>
      </w:r>
      <w:r w:rsidRPr="004D102D">
        <w:t xml:space="preserve"> janvier </w:t>
      </w:r>
      <w:r w:rsidR="00A24354" w:rsidRPr="004D102D">
        <w:t>202</w:t>
      </w:r>
      <w:r w:rsidR="008439C2">
        <w:t>5</w:t>
      </w:r>
      <w:r w:rsidRPr="004D102D">
        <w:t xml:space="preserve"> </w:t>
      </w:r>
    </w:p>
    <w:p w14:paraId="3F47F8F7" w14:textId="2FA90CEE" w:rsidR="00F2165D" w:rsidRPr="004D102D" w:rsidRDefault="00E76C26" w:rsidP="00F2165D">
      <w:r>
        <w:t xml:space="preserve">Commenter toute augmentation </w:t>
      </w:r>
      <w:r w:rsidR="008321AD">
        <w:t xml:space="preserve">significative </w:t>
      </w:r>
      <w:r>
        <w:t xml:space="preserve">d’un </w:t>
      </w:r>
      <w:r w:rsidR="00F2165D" w:rsidRPr="004D102D">
        <w:t>risque</w:t>
      </w:r>
      <w:r>
        <w:t xml:space="preserve"> ayant lieu</w:t>
      </w:r>
      <w:r w:rsidR="00F2165D" w:rsidRPr="004D102D">
        <w:t xml:space="preserve"> entre la date </w:t>
      </w:r>
      <w:r>
        <w:t xml:space="preserve">de référence du </w:t>
      </w:r>
      <w:r w:rsidR="00F2165D" w:rsidRPr="004D102D">
        <w:t>Test de solvabilité (le 1</w:t>
      </w:r>
      <w:r w:rsidR="00F2165D" w:rsidRPr="004D102D">
        <w:rPr>
          <w:vertAlign w:val="superscript"/>
        </w:rPr>
        <w:t>er</w:t>
      </w:r>
      <w:r w:rsidR="00F2165D" w:rsidRPr="004D102D">
        <w:t xml:space="preserve"> janvier) et la date à laquelle le rapport concernant le Test de solvabilité est </w:t>
      </w:r>
      <w:r>
        <w:t>soumis</w:t>
      </w:r>
      <w:r w:rsidR="00F2165D" w:rsidRPr="004D102D">
        <w:t xml:space="preserve">. </w:t>
      </w:r>
    </w:p>
    <w:p w14:paraId="4726F4F8" w14:textId="77777777" w:rsidR="00F2165D" w:rsidRPr="004D102D" w:rsidRDefault="00F2165D" w:rsidP="00F2165D">
      <w:pPr>
        <w:pStyle w:val="Titre1"/>
      </w:pPr>
      <w:r w:rsidRPr="004D102D">
        <w:t>Remarques concernant le Test de solvabilité LAMal</w:t>
      </w:r>
    </w:p>
    <w:p w14:paraId="3C90B4BF" w14:textId="77777777" w:rsidR="00F2165D" w:rsidRPr="004D102D" w:rsidRDefault="00F2165D" w:rsidP="00F2165D">
      <w:pPr>
        <w:pStyle w:val="Titre2"/>
      </w:pPr>
      <w:r w:rsidRPr="004D102D">
        <w:t xml:space="preserve">Remarques générales </w:t>
      </w:r>
    </w:p>
    <w:p w14:paraId="1672D762" w14:textId="77777777" w:rsidR="00F2165D" w:rsidRPr="004D102D" w:rsidRDefault="00F2165D" w:rsidP="00F2165D">
      <w:pPr>
        <w:numPr>
          <w:ilvl w:val="0"/>
          <w:numId w:val="7"/>
        </w:numPr>
      </w:pPr>
      <w:r w:rsidRPr="004D102D">
        <w:t>Personne de contact, n° de téléphone, adresse courriel.</w:t>
      </w:r>
    </w:p>
    <w:p w14:paraId="4EBD95D4" w14:textId="77777777" w:rsidR="00F2165D" w:rsidRPr="004D102D" w:rsidRDefault="00F2165D" w:rsidP="00F2165D">
      <w:pPr>
        <w:numPr>
          <w:ilvl w:val="0"/>
          <w:numId w:val="7"/>
        </w:numPr>
      </w:pPr>
      <w:r w:rsidRPr="004D102D">
        <w:t>Difficultés rencontrées lors des saisies dans le Template.</w:t>
      </w:r>
    </w:p>
    <w:p w14:paraId="5A29CDF1" w14:textId="1A7C7FB0" w:rsidR="00F2165D" w:rsidRPr="004D102D" w:rsidRDefault="008B5BF2" w:rsidP="00F2165D">
      <w:pPr>
        <w:numPr>
          <w:ilvl w:val="0"/>
          <w:numId w:val="7"/>
        </w:numPr>
      </w:pPr>
      <w:r>
        <w:t>D</w:t>
      </w:r>
      <w:r w:rsidR="00F2165D" w:rsidRPr="004D102D">
        <w:t xml:space="preserve">ifficultés </w:t>
      </w:r>
      <w:r>
        <w:t xml:space="preserve">qui continueraient à se produire </w:t>
      </w:r>
      <w:r w:rsidR="00F2165D" w:rsidRPr="004D102D">
        <w:t xml:space="preserve">si </w:t>
      </w:r>
      <w:r>
        <w:t xml:space="preserve">le </w:t>
      </w:r>
      <w:r w:rsidR="00F2165D" w:rsidRPr="004D102D">
        <w:t>Test de solvabilité LAMal</w:t>
      </w:r>
      <w:r>
        <w:t xml:space="preserve"> n’est pas modifié</w:t>
      </w:r>
      <w:r w:rsidR="00F2165D" w:rsidRPr="004D102D">
        <w:t xml:space="preserve">. </w:t>
      </w:r>
    </w:p>
    <w:p w14:paraId="10CE6DEC" w14:textId="77777777" w:rsidR="00F2165D" w:rsidRPr="004D102D" w:rsidRDefault="00F2165D" w:rsidP="00F2165D">
      <w:pPr>
        <w:numPr>
          <w:ilvl w:val="0"/>
          <w:numId w:val="7"/>
        </w:numPr>
      </w:pPr>
      <w:r w:rsidRPr="004D102D">
        <w:t>Problème de savoir-faire (Know-How) mise à contribution du personnel, etc.</w:t>
      </w:r>
    </w:p>
    <w:p w14:paraId="5A5BA244" w14:textId="77777777" w:rsidR="00F2165D" w:rsidRPr="004D102D" w:rsidRDefault="00F2165D" w:rsidP="00F2165D">
      <w:pPr>
        <w:numPr>
          <w:ilvl w:val="0"/>
          <w:numId w:val="7"/>
        </w:numPr>
      </w:pPr>
      <w:r w:rsidRPr="004D102D">
        <w:t xml:space="preserve">Déroulement, collaboration avec l'OFSP, etc. </w:t>
      </w:r>
    </w:p>
    <w:p w14:paraId="086CF900" w14:textId="77777777" w:rsidR="00F2165D" w:rsidRPr="004D102D" w:rsidRDefault="00F2165D" w:rsidP="00F2165D">
      <w:pPr>
        <w:numPr>
          <w:ilvl w:val="0"/>
          <w:numId w:val="7"/>
        </w:numPr>
      </w:pPr>
      <w:r w:rsidRPr="004D102D">
        <w:t xml:space="preserve">Plus-value et connaissances induites par le Test de solvabilité LAMal pour l'assureur. </w:t>
      </w:r>
    </w:p>
    <w:p w14:paraId="579936DC" w14:textId="77777777" w:rsidR="00F2165D" w:rsidRPr="004D102D" w:rsidRDefault="00F2165D" w:rsidP="00F2165D">
      <w:pPr>
        <w:numPr>
          <w:ilvl w:val="0"/>
          <w:numId w:val="7"/>
        </w:numPr>
      </w:pPr>
      <w:r w:rsidRPr="004D102D">
        <w:t xml:space="preserve">Faire une liste des fonctions (par exemple CFO) et/ou des prestataires de service (par exemple banque, actuaire) ayant participé à l’élaboration du </w:t>
      </w:r>
      <w:r w:rsidRPr="004D102D">
        <w:rPr>
          <w:szCs w:val="20"/>
        </w:rPr>
        <w:t xml:space="preserve">Test de solvabilité. </w:t>
      </w:r>
      <w:r w:rsidRPr="004D102D">
        <w:rPr>
          <w:rStyle w:val="tlid-translation"/>
        </w:rPr>
        <w:t>Décrire également les calculs effectués par la personne ou le prestataire de services concerné.</w:t>
      </w:r>
    </w:p>
    <w:p w14:paraId="2BDA892A" w14:textId="77777777" w:rsidR="00F2165D" w:rsidRPr="004D102D" w:rsidRDefault="00F2165D" w:rsidP="00F2165D">
      <w:pPr>
        <w:pStyle w:val="Titre2"/>
      </w:pPr>
      <w:r w:rsidRPr="004D102D">
        <w:t xml:space="preserve">Remarques concernant la méthode </w:t>
      </w:r>
    </w:p>
    <w:p w14:paraId="79CCD1AB" w14:textId="77777777" w:rsidR="00F2165D" w:rsidRPr="004D102D" w:rsidRDefault="00F2165D" w:rsidP="00F2165D">
      <w:pPr>
        <w:ind w:hanging="6"/>
      </w:pPr>
      <w:r w:rsidRPr="004D102D">
        <w:t xml:space="preserve">Vos remarques concernant le mode d'utilisation du Test de solvabilité LAMal </w:t>
      </w:r>
    </w:p>
    <w:p w14:paraId="41947CEA" w14:textId="77777777" w:rsidR="00F2165D" w:rsidRPr="004D102D" w:rsidRDefault="00F2165D" w:rsidP="00F2165D">
      <w:pPr>
        <w:pStyle w:val="Titre1"/>
      </w:pPr>
      <w:r w:rsidRPr="004D102D">
        <w:lastRenderedPageBreak/>
        <w:t>Annexes</w:t>
      </w:r>
    </w:p>
    <w:p w14:paraId="7888F725" w14:textId="18A75247" w:rsidR="00F2165D" w:rsidRPr="004D102D" w:rsidRDefault="00F2165D" w:rsidP="00F2165D">
      <w:pPr>
        <w:ind w:hanging="6"/>
      </w:pPr>
      <w:r w:rsidRPr="004D102D">
        <w:t>Listage (obligatoirement</w:t>
      </w:r>
      <w:r w:rsidR="00C2477A">
        <w:t xml:space="preserve"> à </w:t>
      </w:r>
      <w:r w:rsidRPr="004D102D">
        <w:t>join</w:t>
      </w:r>
      <w:r w:rsidR="00C2477A">
        <w:t>dre</w:t>
      </w:r>
      <w:r w:rsidR="008439C2">
        <w:t xml:space="preserve"> </w:t>
      </w:r>
      <w:r w:rsidRPr="004D102D">
        <w:t>: Feuille 39 du Template</w:t>
      </w:r>
      <w:r w:rsidR="00C2477A">
        <w:t>)</w:t>
      </w:r>
    </w:p>
    <w:p w14:paraId="397E33FD" w14:textId="77777777" w:rsidR="00F2165D" w:rsidRPr="004D102D" w:rsidRDefault="00F2165D" w:rsidP="00F2165D">
      <w:pPr>
        <w:pStyle w:val="Titre1"/>
        <w:numPr>
          <w:ilvl w:val="0"/>
          <w:numId w:val="9"/>
        </w:numPr>
      </w:pPr>
      <w:r w:rsidRPr="004D102D">
        <w:t>Attestation</w:t>
      </w:r>
    </w:p>
    <w:p w14:paraId="6733A34F" w14:textId="660C3067" w:rsidR="00C2477A" w:rsidRDefault="00C2477A" w:rsidP="00F2165D">
      <w:pPr>
        <w:ind w:hanging="6"/>
      </w:pPr>
      <w:r w:rsidRPr="004D102D">
        <w:t>Par exemple</w:t>
      </w:r>
      <w:r w:rsidR="008439C2">
        <w:t xml:space="preserve"> </w:t>
      </w:r>
      <w:r w:rsidRPr="004D102D">
        <w:t>:</w:t>
      </w:r>
    </w:p>
    <w:p w14:paraId="77972A0F" w14:textId="77777777" w:rsidR="00C2477A" w:rsidRDefault="00C2477A" w:rsidP="00F2165D">
      <w:pPr>
        <w:ind w:hanging="6"/>
      </w:pPr>
    </w:p>
    <w:p w14:paraId="399D39F7" w14:textId="7CA9CB9C" w:rsidR="00F2165D" w:rsidRPr="004D102D" w:rsidRDefault="00F2165D" w:rsidP="00F2165D">
      <w:pPr>
        <w:ind w:hanging="6"/>
      </w:pPr>
      <w:r w:rsidRPr="004D102D">
        <w:t>Nous confirmons que le Test de solvabilité LAMal de l'exercice en cours remis à l'OFSP a été rempli conformément aux instructions d'emploi de l'OFSP. Le Template en format Excel remis à l'OFSP fait partie intégrale de ce rapport</w:t>
      </w:r>
      <w:r w:rsidR="008439C2">
        <w:t xml:space="preserve"> </w:t>
      </w:r>
      <w:r w:rsidRPr="004D102D">
        <w:t xml:space="preserve">; aucune autre modification que celle mentionnée dans le présent rapport n'y a été apportée. </w:t>
      </w:r>
    </w:p>
    <w:p w14:paraId="5FC59664" w14:textId="77777777" w:rsidR="00F2165D" w:rsidRPr="004D102D" w:rsidRDefault="00F2165D" w:rsidP="00F2165D"/>
    <w:p w14:paraId="3A27561E" w14:textId="77777777" w:rsidR="00F2165D" w:rsidRPr="004D102D" w:rsidRDefault="00F2165D" w:rsidP="00F2165D">
      <w:r w:rsidRPr="004D102D">
        <w:t xml:space="preserve">Lieu, date </w:t>
      </w:r>
    </w:p>
    <w:p w14:paraId="121F83EF" w14:textId="77777777" w:rsidR="00F2165D" w:rsidRPr="004D102D" w:rsidRDefault="00F2165D" w:rsidP="00F2165D"/>
    <w:p w14:paraId="5E1522CB" w14:textId="77777777" w:rsidR="00F2165D" w:rsidRPr="004D102D" w:rsidRDefault="00F2165D" w:rsidP="00F2165D">
      <w:r w:rsidRPr="004D102D">
        <w:rPr>
          <w:lang w:val="fr-FR"/>
        </w:rPr>
        <w:t>(Signé</w:t>
      </w:r>
      <w:r w:rsidRPr="004D102D">
        <w:t xml:space="preserve"> par deux membres de la Direction ou du Conseil d'administration) </w:t>
      </w:r>
    </w:p>
    <w:p w14:paraId="6BE49DB6" w14:textId="4E008087" w:rsidR="009F7E42" w:rsidRPr="00A24354" w:rsidRDefault="009F7E42" w:rsidP="00231DA2"/>
    <w:sectPr w:rsidR="009F7E42" w:rsidRPr="00A24354" w:rsidSect="00C733FB">
      <w:headerReference w:type="default" r:id="rId8"/>
      <w:footerReference w:type="default" r:id="rId9"/>
      <w:headerReference w:type="first" r:id="rId10"/>
      <w:footerReference w:type="first" r:id="rId11"/>
      <w:pgSz w:w="11906" w:h="16838" w:code="9"/>
      <w:pgMar w:top="1134" w:right="1134" w:bottom="1418" w:left="1701" w:header="680" w:footer="8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A62F" w14:textId="77777777" w:rsidR="00121BA1" w:rsidRDefault="00121BA1">
      <w:pPr>
        <w:spacing w:line="240" w:lineRule="auto"/>
      </w:pPr>
      <w:r>
        <w:separator/>
      </w:r>
    </w:p>
  </w:endnote>
  <w:endnote w:type="continuationSeparator" w:id="0">
    <w:p w14:paraId="7951F1C7" w14:textId="77777777" w:rsidR="00121BA1" w:rsidRDefault="00121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A082" w14:textId="77777777" w:rsidR="00272DC1" w:rsidRDefault="00272DC1" w:rsidP="00272DC1">
    <w:pPr>
      <w:pStyle w:val="Pieddepage"/>
      <w:tabs>
        <w:tab w:val="center" w:pos="4536"/>
        <w:tab w:val="right" w:pos="9639"/>
      </w:tabs>
      <w:ind w:right="-1"/>
      <w:rPr>
        <w:sz w:val="15"/>
        <w:szCs w:val="15"/>
      </w:rPr>
    </w:pPr>
  </w:p>
  <w:p w14:paraId="0E1D9DB4" w14:textId="367809E4" w:rsidR="00E61A46" w:rsidRPr="00272DC1" w:rsidRDefault="00C17E03" w:rsidP="00272DC1">
    <w:pPr>
      <w:pStyle w:val="Pieddepage"/>
      <w:tabs>
        <w:tab w:val="center" w:pos="4536"/>
        <w:tab w:val="right" w:pos="9639"/>
      </w:tabs>
      <w:ind w:right="-1"/>
      <w:rPr>
        <w:sz w:val="15"/>
        <w:szCs w:val="15"/>
      </w:rPr>
    </w:pPr>
    <w:r w:rsidRPr="00C733FB">
      <w:rPr>
        <w:sz w:val="15"/>
        <w:szCs w:val="15"/>
        <w:lang w:val="de-CH"/>
      </w:rPr>
      <w:fldChar w:fldCharType="begin"/>
    </w:r>
    <w:r w:rsidRPr="00C733FB">
      <w:rPr>
        <w:sz w:val="15"/>
        <w:szCs w:val="15"/>
      </w:rPr>
      <w:instrText xml:space="preserve"> FILENAME   \* MERGEFORMAT </w:instrText>
    </w:r>
    <w:r w:rsidRPr="00C733FB">
      <w:rPr>
        <w:sz w:val="15"/>
        <w:szCs w:val="15"/>
        <w:lang w:val="de-CH"/>
      </w:rPr>
      <w:fldChar w:fldCharType="separate"/>
    </w:r>
    <w:r w:rsidR="00775925">
      <w:rPr>
        <w:noProof/>
        <w:sz w:val="15"/>
        <w:szCs w:val="15"/>
      </w:rPr>
      <w:t>Modèle de rapport concernant le test de sovabilité LAMal 2025</w:t>
    </w:r>
    <w:r w:rsidRPr="00C733FB">
      <w:rPr>
        <w:sz w:val="15"/>
        <w:szCs w:val="15"/>
        <w:lang w:val="de-CH"/>
      </w:rPr>
      <w:fldChar w:fldCharType="end"/>
    </w:r>
    <w:r w:rsidR="000266DB">
      <w:tab/>
    </w:r>
    <w:r w:rsidR="000266DB">
      <w:tab/>
    </w:r>
    <w:r w:rsidR="00272DC1">
      <w:rPr>
        <w:sz w:val="15"/>
        <w:szCs w:val="15"/>
      </w:rPr>
      <w:fldChar w:fldCharType="begin"/>
    </w:r>
    <w:r w:rsidR="00272DC1">
      <w:rPr>
        <w:sz w:val="15"/>
        <w:szCs w:val="15"/>
      </w:rPr>
      <w:instrText xml:space="preserve"> PAGE  \* Arabic  \* MERGEFORMAT </w:instrText>
    </w:r>
    <w:r w:rsidR="00272DC1">
      <w:rPr>
        <w:sz w:val="15"/>
        <w:szCs w:val="15"/>
      </w:rPr>
      <w:fldChar w:fldCharType="separate"/>
    </w:r>
    <w:r w:rsidR="00272DC1">
      <w:rPr>
        <w:sz w:val="15"/>
        <w:szCs w:val="15"/>
      </w:rPr>
      <w:t>8</w:t>
    </w:r>
    <w:r w:rsidR="00272DC1">
      <w:rPr>
        <w:sz w:val="15"/>
        <w:szCs w:val="15"/>
      </w:rPr>
      <w:fldChar w:fldCharType="end"/>
    </w:r>
    <w:r w:rsidR="00272DC1">
      <w:rPr>
        <w:sz w:val="15"/>
        <w:szCs w:val="15"/>
      </w:rPr>
      <w:t>/</w:t>
    </w:r>
    <w:r w:rsidR="00272DC1">
      <w:rPr>
        <w:sz w:val="15"/>
        <w:szCs w:val="15"/>
      </w:rPr>
      <w:fldChar w:fldCharType="begin"/>
    </w:r>
    <w:r w:rsidR="00272DC1">
      <w:rPr>
        <w:sz w:val="15"/>
        <w:szCs w:val="15"/>
      </w:rPr>
      <w:instrText xml:space="preserve"> NUMPAGES  \# "0" \* Arabic  \* MERGEFORMAT </w:instrText>
    </w:r>
    <w:r w:rsidR="00272DC1">
      <w:rPr>
        <w:sz w:val="15"/>
        <w:szCs w:val="15"/>
      </w:rPr>
      <w:fldChar w:fldCharType="separate"/>
    </w:r>
    <w:r w:rsidR="00272DC1">
      <w:rPr>
        <w:sz w:val="15"/>
        <w:szCs w:val="15"/>
      </w:rPr>
      <w:t>8</w:t>
    </w:r>
    <w:r w:rsidR="00272DC1">
      <w:rPr>
        <w:sz w:val="15"/>
        <w:szCs w:val="15"/>
      </w:rPr>
      <w:fldChar w:fldCharType="end"/>
    </w:r>
  </w:p>
  <w:p w14:paraId="2137BE30" w14:textId="77777777" w:rsidR="00DB350D" w:rsidRPr="00C733FB" w:rsidRDefault="00121BA1" w:rsidP="00C733FB">
    <w:pPr>
      <w:pStyle w:val="Pieddepage"/>
      <w:tabs>
        <w:tab w:val="center" w:pos="4536"/>
        <w:tab w:val="right" w:pos="9071"/>
      </w:tabs>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C89A" w14:textId="0959D48F" w:rsidR="00DB350D" w:rsidRPr="00C733FB" w:rsidRDefault="00F2165D" w:rsidP="00C733FB">
    <w:pPr>
      <w:pStyle w:val="Pieddepage"/>
      <w:tabs>
        <w:tab w:val="center" w:pos="4536"/>
        <w:tab w:val="right" w:pos="9071"/>
      </w:tabs>
      <w:rPr>
        <w:sz w:val="15"/>
        <w:szCs w:val="15"/>
      </w:rPr>
    </w:pPr>
    <w:r w:rsidRPr="00C733FB">
      <w:rPr>
        <w:sz w:val="15"/>
        <w:szCs w:val="15"/>
        <w:lang w:val="de-CH"/>
      </w:rPr>
      <w:fldChar w:fldCharType="begin"/>
    </w:r>
    <w:r w:rsidRPr="00C733FB">
      <w:rPr>
        <w:sz w:val="15"/>
        <w:szCs w:val="15"/>
      </w:rPr>
      <w:instrText xml:space="preserve"> FILENAME   \* MERGEFORMAT </w:instrText>
    </w:r>
    <w:r w:rsidRPr="00C733FB">
      <w:rPr>
        <w:sz w:val="15"/>
        <w:szCs w:val="15"/>
        <w:lang w:val="de-CH"/>
      </w:rPr>
      <w:fldChar w:fldCharType="separate"/>
    </w:r>
    <w:r w:rsidR="00775925">
      <w:rPr>
        <w:noProof/>
        <w:sz w:val="15"/>
        <w:szCs w:val="15"/>
      </w:rPr>
      <w:t>Modèle de rapport concernant le test de sovabilité LAMal 2025</w:t>
    </w:r>
    <w:r w:rsidRPr="00C733FB">
      <w:rPr>
        <w:sz w:val="15"/>
        <w:szCs w:val="15"/>
        <w:lang w:val="de-CH"/>
      </w:rPr>
      <w:fldChar w:fldCharType="end"/>
    </w:r>
    <w:r w:rsidRPr="00C733FB">
      <w:rPr>
        <w:sz w:val="15"/>
        <w:szCs w:val="15"/>
      </w:rPr>
      <w:tab/>
    </w:r>
    <w:r w:rsidRPr="00C733FB">
      <w:rPr>
        <w:sz w:val="15"/>
        <w:szCs w:val="15"/>
      </w:rPr>
      <w:tab/>
    </w:r>
    <w:r w:rsidRPr="00C733FB">
      <w:rPr>
        <w:sz w:val="15"/>
        <w:szCs w:val="15"/>
        <w:lang w:val="de-CH"/>
      </w:rPr>
      <w:fldChar w:fldCharType="begin"/>
    </w:r>
    <w:r w:rsidRPr="00C733FB">
      <w:rPr>
        <w:sz w:val="15"/>
        <w:szCs w:val="15"/>
      </w:rPr>
      <w:instrText xml:space="preserve"> PAGE  \* Arabic  \* MERGEFORMAT </w:instrText>
    </w:r>
    <w:r w:rsidRPr="00C733FB">
      <w:rPr>
        <w:sz w:val="15"/>
        <w:szCs w:val="15"/>
        <w:lang w:val="de-CH"/>
      </w:rPr>
      <w:fldChar w:fldCharType="separate"/>
    </w:r>
    <w:r w:rsidR="00836AC1">
      <w:rPr>
        <w:noProof/>
        <w:sz w:val="15"/>
        <w:szCs w:val="15"/>
      </w:rPr>
      <w:t>1</w:t>
    </w:r>
    <w:r w:rsidRPr="00C733FB">
      <w:rPr>
        <w:sz w:val="15"/>
        <w:szCs w:val="15"/>
        <w:lang w:val="de-CH"/>
      </w:rPr>
      <w:fldChar w:fldCharType="end"/>
    </w:r>
    <w:r w:rsidRPr="00C733FB">
      <w:rPr>
        <w:sz w:val="15"/>
        <w:szCs w:val="15"/>
      </w:rPr>
      <w:t>/</w:t>
    </w:r>
    <w:r w:rsidRPr="00C733FB">
      <w:rPr>
        <w:sz w:val="15"/>
        <w:szCs w:val="15"/>
        <w:lang w:val="de-CH"/>
      </w:rPr>
      <w:fldChar w:fldCharType="begin"/>
    </w:r>
    <w:r w:rsidRPr="00C733FB">
      <w:rPr>
        <w:sz w:val="15"/>
        <w:szCs w:val="15"/>
      </w:rPr>
      <w:instrText xml:space="preserve"> NUMPAGES   \* MERGEFORMAT </w:instrText>
    </w:r>
    <w:r w:rsidRPr="00C733FB">
      <w:rPr>
        <w:sz w:val="15"/>
        <w:szCs w:val="15"/>
        <w:lang w:val="de-CH"/>
      </w:rPr>
      <w:fldChar w:fldCharType="separate"/>
    </w:r>
    <w:r w:rsidR="00836AC1">
      <w:rPr>
        <w:noProof/>
        <w:sz w:val="15"/>
        <w:szCs w:val="15"/>
      </w:rPr>
      <w:t>9</w:t>
    </w:r>
    <w:r w:rsidRPr="00C733FB">
      <w:rPr>
        <w:sz w:val="15"/>
        <w:szCs w:val="15"/>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068F" w14:textId="77777777" w:rsidR="00121BA1" w:rsidRDefault="00121BA1">
      <w:pPr>
        <w:spacing w:line="240" w:lineRule="auto"/>
      </w:pPr>
      <w:r>
        <w:separator/>
      </w:r>
    </w:p>
  </w:footnote>
  <w:footnote w:type="continuationSeparator" w:id="0">
    <w:p w14:paraId="0CE660FF" w14:textId="77777777" w:rsidR="00121BA1" w:rsidRDefault="00121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9287"/>
    </w:tblGrid>
    <w:tr w:rsidR="00DB350D" w:rsidRPr="00C8725D" w14:paraId="171D09F1" w14:textId="77777777" w:rsidTr="00200286">
      <w:trPr>
        <w:cantSplit/>
        <w:trHeight w:hRule="exact" w:val="400"/>
      </w:trPr>
      <w:tc>
        <w:tcPr>
          <w:tcW w:w="9287" w:type="dxa"/>
        </w:tcPr>
        <w:p w14:paraId="2982B9C2" w14:textId="77777777" w:rsidR="00DB350D" w:rsidRPr="00C8725D" w:rsidRDefault="00121BA1" w:rsidP="005516E5"/>
      </w:tc>
    </w:tr>
  </w:tbl>
  <w:p w14:paraId="50131A72" w14:textId="77777777" w:rsidR="00DB350D" w:rsidRDefault="00121BA1" w:rsidP="005516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6" w:type="dxa"/>
      <w:tblInd w:w="-595" w:type="dxa"/>
      <w:tblLayout w:type="fixed"/>
      <w:tblCellMar>
        <w:left w:w="107" w:type="dxa"/>
        <w:right w:w="107" w:type="dxa"/>
      </w:tblCellMar>
      <w:tblLook w:val="0600" w:firstRow="0" w:lastRow="0" w:firstColumn="0" w:lastColumn="0" w:noHBand="1" w:noVBand="1"/>
    </w:tblPr>
    <w:tblGrid>
      <w:gridCol w:w="4848"/>
      <w:gridCol w:w="5318"/>
    </w:tblGrid>
    <w:tr w:rsidR="00DB350D" w:rsidRPr="00C8725D" w14:paraId="4D6D9515" w14:textId="77777777" w:rsidTr="00C8725D">
      <w:trPr>
        <w:cantSplit/>
        <w:trHeight w:hRule="exact" w:val="1800"/>
      </w:trPr>
      <w:tc>
        <w:tcPr>
          <w:tcW w:w="4848" w:type="dxa"/>
        </w:tcPr>
        <w:p w14:paraId="6301280A" w14:textId="4007DAE5" w:rsidR="00DB350D" w:rsidRPr="00C8725D" w:rsidRDefault="004D102D" w:rsidP="005516E5">
          <w:pPr>
            <w:pStyle w:val="En-tte"/>
            <w:rPr>
              <w:szCs w:val="20"/>
            </w:rPr>
          </w:pPr>
          <w:r>
            <w:rPr>
              <w:noProof/>
              <w:szCs w:val="20"/>
              <w:lang w:val="de-CH" w:eastAsia="de-CH"/>
            </w:rPr>
            <w:drawing>
              <wp:inline distT="0" distB="0" distL="0" distR="0" wp14:anchorId="3DA5266C" wp14:editId="03BFC578">
                <wp:extent cx="1978660" cy="648335"/>
                <wp:effectExtent l="19050" t="0" r="2540" b="0"/>
                <wp:docPr id="2"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sw.gif"/>
                        <pic:cNvPicPr>
                          <a:picLocks noChangeAspect="1" noChangeArrowheads="1"/>
                        </pic:cNvPicPr>
                      </pic:nvPicPr>
                      <pic:blipFill>
                        <a:blip r:embed="rId1"/>
                        <a:srcRect/>
                        <a:stretch>
                          <a:fillRect/>
                        </a:stretch>
                      </pic:blipFill>
                      <pic:spPr bwMode="auto">
                        <a:xfrm>
                          <a:off x="0" y="0"/>
                          <a:ext cx="1978660" cy="648335"/>
                        </a:xfrm>
                        <a:prstGeom prst="rect">
                          <a:avLst/>
                        </a:prstGeom>
                        <a:noFill/>
                        <a:ln w="9525">
                          <a:noFill/>
                          <a:miter lim="800000"/>
                          <a:headEnd/>
                          <a:tailEnd/>
                        </a:ln>
                      </pic:spPr>
                    </pic:pic>
                  </a:graphicData>
                </a:graphic>
              </wp:inline>
            </w:drawing>
          </w:r>
        </w:p>
        <w:p w14:paraId="3E69FF72" w14:textId="77777777" w:rsidR="00DB350D" w:rsidRPr="00C8725D" w:rsidRDefault="00121BA1" w:rsidP="006A1F9A">
          <w:pPr>
            <w:pStyle w:val="En-tte"/>
            <w:rPr>
              <w:szCs w:val="20"/>
            </w:rPr>
          </w:pPr>
        </w:p>
      </w:tc>
      <w:tc>
        <w:tcPr>
          <w:tcW w:w="5318" w:type="dxa"/>
        </w:tcPr>
        <w:p w14:paraId="03797CE7" w14:textId="77777777" w:rsidR="00DB350D" w:rsidRPr="00C8725D" w:rsidRDefault="00F2165D" w:rsidP="00F00301">
          <w:pPr>
            <w:pStyle w:val="KopfzeileDepartement"/>
            <w:rPr>
              <w:szCs w:val="20"/>
            </w:rPr>
          </w:pPr>
          <w:r w:rsidRPr="00C8725D">
            <w:rPr>
              <w:szCs w:val="20"/>
            </w:rPr>
            <w:t>Département fédéral de l'intérieur DFI</w:t>
          </w:r>
        </w:p>
        <w:p w14:paraId="66B95E24" w14:textId="77777777" w:rsidR="00DB350D" w:rsidRPr="00C8725D" w:rsidRDefault="00F2165D" w:rsidP="00F00301">
          <w:pPr>
            <w:pStyle w:val="KopfzeileFett"/>
            <w:rPr>
              <w:szCs w:val="20"/>
            </w:rPr>
          </w:pPr>
          <w:r w:rsidRPr="00C8725D">
            <w:rPr>
              <w:szCs w:val="20"/>
            </w:rPr>
            <w:t>Office fédéral de la santé publique OFSP</w:t>
          </w:r>
        </w:p>
        <w:p w14:paraId="705D7C11" w14:textId="77777777" w:rsidR="00DB350D" w:rsidRPr="00C8725D" w:rsidRDefault="00F2165D" w:rsidP="009D38BD">
          <w:pPr>
            <w:pStyle w:val="En-tte"/>
            <w:rPr>
              <w:szCs w:val="20"/>
            </w:rPr>
          </w:pPr>
          <w:r w:rsidRPr="00C8725D">
            <w:rPr>
              <w:szCs w:val="20"/>
            </w:rPr>
            <w:t>Unité de direction de l'assurance-maladie et accidents</w:t>
          </w:r>
        </w:p>
      </w:tc>
    </w:tr>
  </w:tbl>
  <w:p w14:paraId="7FFD18AC" w14:textId="77777777" w:rsidR="00DB350D" w:rsidRPr="007B2844" w:rsidRDefault="00121BA1" w:rsidP="00E970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6DB"/>
    <w:multiLevelType w:val="multilevel"/>
    <w:tmpl w:val="74A4454C"/>
    <w:lvl w:ilvl="0">
      <w:start w:val="1"/>
      <w:numFmt w:val="decimal"/>
      <w:pStyle w:val="Titre1"/>
      <w:lvlText w:val="%1"/>
      <w:lvlJc w:val="left"/>
      <w:pPr>
        <w:ind w:left="432" w:hanging="432"/>
      </w:pPr>
    </w:lvl>
    <w:lvl w:ilvl="1">
      <w:start w:val="1"/>
      <w:numFmt w:val="decimal"/>
      <w:pStyle w:val="Titre2"/>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070D2E09"/>
    <w:multiLevelType w:val="hybridMultilevel"/>
    <w:tmpl w:val="4ACA82B8"/>
    <w:lvl w:ilvl="0" w:tplc="A01E2AEE">
      <w:numFmt w:val="bullet"/>
      <w:lvlText w:val="-"/>
      <w:lvlJc w:val="left"/>
      <w:pPr>
        <w:ind w:left="1068" w:hanging="360"/>
      </w:pPr>
      <w:rPr>
        <w:rFonts w:ascii="Arial" w:eastAsia="Times New Roman" w:hAnsi="Arial" w:cs="Aria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 w15:restartNumberingAfterBreak="0">
    <w:nsid w:val="1791448A"/>
    <w:multiLevelType w:val="hybridMultilevel"/>
    <w:tmpl w:val="CF8E0AF6"/>
    <w:lvl w:ilvl="0" w:tplc="0807000F">
      <w:start w:val="8"/>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8604352"/>
    <w:multiLevelType w:val="hybridMultilevel"/>
    <w:tmpl w:val="B642A2E0"/>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4" w15:restartNumberingAfterBreak="0">
    <w:nsid w:val="19F62AB6"/>
    <w:multiLevelType w:val="hybridMultilevel"/>
    <w:tmpl w:val="8EAE0EF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AC525ED"/>
    <w:multiLevelType w:val="hybridMultilevel"/>
    <w:tmpl w:val="60528C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3E136FE"/>
    <w:multiLevelType w:val="hybridMultilevel"/>
    <w:tmpl w:val="D68AE4CC"/>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7" w15:restartNumberingAfterBreak="0">
    <w:nsid w:val="25BF5478"/>
    <w:multiLevelType w:val="hybridMultilevel"/>
    <w:tmpl w:val="77DE11A4"/>
    <w:lvl w:ilvl="0" w:tplc="08070001">
      <w:start w:val="1"/>
      <w:numFmt w:val="bullet"/>
      <w:lvlText w:val=""/>
      <w:lvlJc w:val="left"/>
      <w:pPr>
        <w:ind w:left="720" w:hanging="360"/>
      </w:pPr>
      <w:rPr>
        <w:rFonts w:ascii="Symbol" w:hAnsi="Symbol" w:hint="default"/>
      </w:rPr>
    </w:lvl>
    <w:lvl w:ilvl="1" w:tplc="48F8A65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5FC673D"/>
    <w:multiLevelType w:val="hybridMultilevel"/>
    <w:tmpl w:val="A4140A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DD334F6"/>
    <w:multiLevelType w:val="hybridMultilevel"/>
    <w:tmpl w:val="E6F838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0D662F"/>
    <w:multiLevelType w:val="hybridMultilevel"/>
    <w:tmpl w:val="C794EC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FC83E30"/>
    <w:multiLevelType w:val="hybridMultilevel"/>
    <w:tmpl w:val="069E21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32A1150"/>
    <w:multiLevelType w:val="hybridMultilevel"/>
    <w:tmpl w:val="9EA83E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A76A2A"/>
    <w:multiLevelType w:val="hybridMultilevel"/>
    <w:tmpl w:val="14A0A9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A600A53"/>
    <w:multiLevelType w:val="hybridMultilevel"/>
    <w:tmpl w:val="7BA01BA2"/>
    <w:lvl w:ilvl="0" w:tplc="08070001">
      <w:start w:val="1"/>
      <w:numFmt w:val="bullet"/>
      <w:lvlText w:val=""/>
      <w:lvlJc w:val="left"/>
      <w:pPr>
        <w:ind w:left="714" w:hanging="360"/>
      </w:pPr>
      <w:rPr>
        <w:rFonts w:ascii="Symbol" w:hAnsi="Symbol" w:hint="default"/>
      </w:rPr>
    </w:lvl>
    <w:lvl w:ilvl="1" w:tplc="08070003" w:tentative="1">
      <w:start w:val="1"/>
      <w:numFmt w:val="bullet"/>
      <w:lvlText w:val="o"/>
      <w:lvlJc w:val="left"/>
      <w:pPr>
        <w:ind w:left="1434" w:hanging="360"/>
      </w:pPr>
      <w:rPr>
        <w:rFonts w:ascii="Courier New" w:hAnsi="Courier New" w:cs="Courier New" w:hint="default"/>
      </w:rPr>
    </w:lvl>
    <w:lvl w:ilvl="2" w:tplc="08070005" w:tentative="1">
      <w:start w:val="1"/>
      <w:numFmt w:val="bullet"/>
      <w:lvlText w:val=""/>
      <w:lvlJc w:val="left"/>
      <w:pPr>
        <w:ind w:left="2154" w:hanging="360"/>
      </w:pPr>
      <w:rPr>
        <w:rFonts w:ascii="Wingdings" w:hAnsi="Wingdings" w:hint="default"/>
      </w:rPr>
    </w:lvl>
    <w:lvl w:ilvl="3" w:tplc="08070001" w:tentative="1">
      <w:start w:val="1"/>
      <w:numFmt w:val="bullet"/>
      <w:lvlText w:val=""/>
      <w:lvlJc w:val="left"/>
      <w:pPr>
        <w:ind w:left="2874" w:hanging="360"/>
      </w:pPr>
      <w:rPr>
        <w:rFonts w:ascii="Symbol" w:hAnsi="Symbol" w:hint="default"/>
      </w:rPr>
    </w:lvl>
    <w:lvl w:ilvl="4" w:tplc="08070003" w:tentative="1">
      <w:start w:val="1"/>
      <w:numFmt w:val="bullet"/>
      <w:lvlText w:val="o"/>
      <w:lvlJc w:val="left"/>
      <w:pPr>
        <w:ind w:left="3594" w:hanging="360"/>
      </w:pPr>
      <w:rPr>
        <w:rFonts w:ascii="Courier New" w:hAnsi="Courier New" w:cs="Courier New" w:hint="default"/>
      </w:rPr>
    </w:lvl>
    <w:lvl w:ilvl="5" w:tplc="08070005" w:tentative="1">
      <w:start w:val="1"/>
      <w:numFmt w:val="bullet"/>
      <w:lvlText w:val=""/>
      <w:lvlJc w:val="left"/>
      <w:pPr>
        <w:ind w:left="4314" w:hanging="360"/>
      </w:pPr>
      <w:rPr>
        <w:rFonts w:ascii="Wingdings" w:hAnsi="Wingdings" w:hint="default"/>
      </w:rPr>
    </w:lvl>
    <w:lvl w:ilvl="6" w:tplc="08070001" w:tentative="1">
      <w:start w:val="1"/>
      <w:numFmt w:val="bullet"/>
      <w:lvlText w:val=""/>
      <w:lvlJc w:val="left"/>
      <w:pPr>
        <w:ind w:left="5034" w:hanging="360"/>
      </w:pPr>
      <w:rPr>
        <w:rFonts w:ascii="Symbol" w:hAnsi="Symbol" w:hint="default"/>
      </w:rPr>
    </w:lvl>
    <w:lvl w:ilvl="7" w:tplc="08070003" w:tentative="1">
      <w:start w:val="1"/>
      <w:numFmt w:val="bullet"/>
      <w:lvlText w:val="o"/>
      <w:lvlJc w:val="left"/>
      <w:pPr>
        <w:ind w:left="5754" w:hanging="360"/>
      </w:pPr>
      <w:rPr>
        <w:rFonts w:ascii="Courier New" w:hAnsi="Courier New" w:cs="Courier New" w:hint="default"/>
      </w:rPr>
    </w:lvl>
    <w:lvl w:ilvl="8" w:tplc="08070005" w:tentative="1">
      <w:start w:val="1"/>
      <w:numFmt w:val="bullet"/>
      <w:lvlText w:val=""/>
      <w:lvlJc w:val="left"/>
      <w:pPr>
        <w:ind w:left="6474" w:hanging="360"/>
      </w:pPr>
      <w:rPr>
        <w:rFonts w:ascii="Wingdings" w:hAnsi="Wingdings" w:hint="default"/>
      </w:rPr>
    </w:lvl>
  </w:abstractNum>
  <w:abstractNum w:abstractNumId="15" w15:restartNumberingAfterBreak="0">
    <w:nsid w:val="4DD2297F"/>
    <w:multiLevelType w:val="hybridMultilevel"/>
    <w:tmpl w:val="E7566B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43069D1"/>
    <w:multiLevelType w:val="hybridMultilevel"/>
    <w:tmpl w:val="787A45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D5B3538"/>
    <w:multiLevelType w:val="hybridMultilevel"/>
    <w:tmpl w:val="E9120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1A66AB1"/>
    <w:multiLevelType w:val="hybridMultilevel"/>
    <w:tmpl w:val="FE4079E6"/>
    <w:lvl w:ilvl="0" w:tplc="9302365E">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7DF2226"/>
    <w:multiLevelType w:val="hybridMultilevel"/>
    <w:tmpl w:val="F12CCD46"/>
    <w:lvl w:ilvl="0" w:tplc="48F8A65E">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0" w15:restartNumberingAfterBreak="0">
    <w:nsid w:val="72C364C8"/>
    <w:multiLevelType w:val="hybridMultilevel"/>
    <w:tmpl w:val="6A7A59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4C03F70"/>
    <w:multiLevelType w:val="hybridMultilevel"/>
    <w:tmpl w:val="C6483E6A"/>
    <w:lvl w:ilvl="0" w:tplc="08070001">
      <w:start w:val="1"/>
      <w:numFmt w:val="bullet"/>
      <w:lvlText w:val=""/>
      <w:lvlJc w:val="left"/>
      <w:pPr>
        <w:ind w:left="720" w:hanging="360"/>
      </w:pPr>
      <w:rPr>
        <w:rFonts w:ascii="Symbol" w:hAnsi="Symbol" w:hint="default"/>
      </w:rPr>
    </w:lvl>
    <w:lvl w:ilvl="1" w:tplc="48F8A65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B52A05"/>
    <w:multiLevelType w:val="hybridMultilevel"/>
    <w:tmpl w:val="2416B85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2"/>
  </w:num>
  <w:num w:numId="4">
    <w:abstractNumId w:val="9"/>
  </w:num>
  <w:num w:numId="5">
    <w:abstractNumId w:val="10"/>
  </w:num>
  <w:num w:numId="6">
    <w:abstractNumId w:val="20"/>
  </w:num>
  <w:num w:numId="7">
    <w:abstractNumId w:val="14"/>
  </w:num>
  <w:num w:numId="8">
    <w:abstractNumId w:val="4"/>
  </w:num>
  <w:num w:numId="9">
    <w:abstractNumId w:val="2"/>
  </w:num>
  <w:num w:numId="10">
    <w:abstractNumId w:val="17"/>
  </w:num>
  <w:num w:numId="11">
    <w:abstractNumId w:val="13"/>
  </w:num>
  <w:num w:numId="12">
    <w:abstractNumId w:val="15"/>
  </w:num>
  <w:num w:numId="13">
    <w:abstractNumId w:val="19"/>
  </w:num>
  <w:num w:numId="14">
    <w:abstractNumId w:val="5"/>
  </w:num>
  <w:num w:numId="15">
    <w:abstractNumId w:val="8"/>
  </w:num>
  <w:num w:numId="16">
    <w:abstractNumId w:val="7"/>
  </w:num>
  <w:num w:numId="17">
    <w:abstractNumId w:val="21"/>
  </w:num>
  <w:num w:numId="18">
    <w:abstractNumId w:val="1"/>
  </w:num>
  <w:num w:numId="19">
    <w:abstractNumId w:val="3"/>
  </w:num>
  <w:num w:numId="20">
    <w:abstractNumId w:val="16"/>
  </w:num>
  <w:num w:numId="21">
    <w:abstractNumId w:val="6"/>
  </w:num>
  <w:num w:numId="22">
    <w:abstractNumId w:val="11"/>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EDF"/>
    <w:rsid w:val="000241B6"/>
    <w:rsid w:val="000266DB"/>
    <w:rsid w:val="00027ACB"/>
    <w:rsid w:val="000642E9"/>
    <w:rsid w:val="00074B8A"/>
    <w:rsid w:val="00077F92"/>
    <w:rsid w:val="000C0293"/>
    <w:rsid w:val="00121BA1"/>
    <w:rsid w:val="001227C9"/>
    <w:rsid w:val="001350F3"/>
    <w:rsid w:val="00157D53"/>
    <w:rsid w:val="001729AF"/>
    <w:rsid w:val="00192F35"/>
    <w:rsid w:val="001A3DF7"/>
    <w:rsid w:val="001B354B"/>
    <w:rsid w:val="001D6484"/>
    <w:rsid w:val="001E589E"/>
    <w:rsid w:val="001F55BA"/>
    <w:rsid w:val="00200EEB"/>
    <w:rsid w:val="0020458F"/>
    <w:rsid w:val="00224EDF"/>
    <w:rsid w:val="00230970"/>
    <w:rsid w:val="00231DA2"/>
    <w:rsid w:val="002339A4"/>
    <w:rsid w:val="0025798E"/>
    <w:rsid w:val="0026146F"/>
    <w:rsid w:val="00267BFC"/>
    <w:rsid w:val="00272DC1"/>
    <w:rsid w:val="00284F43"/>
    <w:rsid w:val="00287A7C"/>
    <w:rsid w:val="00292832"/>
    <w:rsid w:val="002964F3"/>
    <w:rsid w:val="002A0AD5"/>
    <w:rsid w:val="002C00AC"/>
    <w:rsid w:val="002E3052"/>
    <w:rsid w:val="002E57F1"/>
    <w:rsid w:val="00301DF2"/>
    <w:rsid w:val="00310A83"/>
    <w:rsid w:val="00320119"/>
    <w:rsid w:val="003760E1"/>
    <w:rsid w:val="003837CD"/>
    <w:rsid w:val="00385917"/>
    <w:rsid w:val="003C7274"/>
    <w:rsid w:val="003E5AC4"/>
    <w:rsid w:val="00400332"/>
    <w:rsid w:val="00427CD6"/>
    <w:rsid w:val="00451AF9"/>
    <w:rsid w:val="0045589D"/>
    <w:rsid w:val="0046646E"/>
    <w:rsid w:val="00467384"/>
    <w:rsid w:val="00471F17"/>
    <w:rsid w:val="004D102D"/>
    <w:rsid w:val="004D4683"/>
    <w:rsid w:val="005069C2"/>
    <w:rsid w:val="005205C9"/>
    <w:rsid w:val="00545642"/>
    <w:rsid w:val="00557DB1"/>
    <w:rsid w:val="005A79C6"/>
    <w:rsid w:val="005B3360"/>
    <w:rsid w:val="005F5EA4"/>
    <w:rsid w:val="0060476D"/>
    <w:rsid w:val="0060516A"/>
    <w:rsid w:val="00614535"/>
    <w:rsid w:val="006416BF"/>
    <w:rsid w:val="006B7B69"/>
    <w:rsid w:val="006F03AD"/>
    <w:rsid w:val="00725AA7"/>
    <w:rsid w:val="00733E44"/>
    <w:rsid w:val="007526C0"/>
    <w:rsid w:val="00753B2B"/>
    <w:rsid w:val="00775925"/>
    <w:rsid w:val="00776F59"/>
    <w:rsid w:val="007E6DCD"/>
    <w:rsid w:val="007F12CC"/>
    <w:rsid w:val="008008B7"/>
    <w:rsid w:val="00805BEA"/>
    <w:rsid w:val="008321AD"/>
    <w:rsid w:val="00836AC1"/>
    <w:rsid w:val="00841697"/>
    <w:rsid w:val="008439C2"/>
    <w:rsid w:val="00851876"/>
    <w:rsid w:val="0085451D"/>
    <w:rsid w:val="00893300"/>
    <w:rsid w:val="00897A76"/>
    <w:rsid w:val="008B5BF2"/>
    <w:rsid w:val="008C1615"/>
    <w:rsid w:val="008C1B48"/>
    <w:rsid w:val="008C4E92"/>
    <w:rsid w:val="008E66B3"/>
    <w:rsid w:val="008F1DA9"/>
    <w:rsid w:val="00904B2B"/>
    <w:rsid w:val="0091198F"/>
    <w:rsid w:val="00916D09"/>
    <w:rsid w:val="00932CE1"/>
    <w:rsid w:val="00943091"/>
    <w:rsid w:val="00950851"/>
    <w:rsid w:val="00980DDB"/>
    <w:rsid w:val="0098138E"/>
    <w:rsid w:val="00990F64"/>
    <w:rsid w:val="00992257"/>
    <w:rsid w:val="009A6EB4"/>
    <w:rsid w:val="009D230A"/>
    <w:rsid w:val="009F7E42"/>
    <w:rsid w:val="00A063FC"/>
    <w:rsid w:val="00A11683"/>
    <w:rsid w:val="00A151B9"/>
    <w:rsid w:val="00A24354"/>
    <w:rsid w:val="00A265DF"/>
    <w:rsid w:val="00A33F0A"/>
    <w:rsid w:val="00A743FC"/>
    <w:rsid w:val="00A9369E"/>
    <w:rsid w:val="00A93A85"/>
    <w:rsid w:val="00AA0422"/>
    <w:rsid w:val="00AA1A9A"/>
    <w:rsid w:val="00AE24E4"/>
    <w:rsid w:val="00AE7E72"/>
    <w:rsid w:val="00B35B16"/>
    <w:rsid w:val="00B67B3D"/>
    <w:rsid w:val="00B722F0"/>
    <w:rsid w:val="00BF6961"/>
    <w:rsid w:val="00BF7567"/>
    <w:rsid w:val="00BF773C"/>
    <w:rsid w:val="00C051A8"/>
    <w:rsid w:val="00C17E03"/>
    <w:rsid w:val="00C23380"/>
    <w:rsid w:val="00C24459"/>
    <w:rsid w:val="00C2477A"/>
    <w:rsid w:val="00C65E4A"/>
    <w:rsid w:val="00C67EFE"/>
    <w:rsid w:val="00C73E8C"/>
    <w:rsid w:val="00C80000"/>
    <w:rsid w:val="00C837A5"/>
    <w:rsid w:val="00C85A01"/>
    <w:rsid w:val="00C90714"/>
    <w:rsid w:val="00CC408B"/>
    <w:rsid w:val="00D5458F"/>
    <w:rsid w:val="00D755BE"/>
    <w:rsid w:val="00D75F94"/>
    <w:rsid w:val="00D82ADC"/>
    <w:rsid w:val="00D90498"/>
    <w:rsid w:val="00DB1449"/>
    <w:rsid w:val="00DD1202"/>
    <w:rsid w:val="00DE3FCE"/>
    <w:rsid w:val="00DF190E"/>
    <w:rsid w:val="00E652D2"/>
    <w:rsid w:val="00E76C26"/>
    <w:rsid w:val="00E84F05"/>
    <w:rsid w:val="00EB4B72"/>
    <w:rsid w:val="00EC3EF9"/>
    <w:rsid w:val="00EC5A6C"/>
    <w:rsid w:val="00EE37CB"/>
    <w:rsid w:val="00F07A05"/>
    <w:rsid w:val="00F2165D"/>
    <w:rsid w:val="00F32D21"/>
    <w:rsid w:val="00F57CDB"/>
    <w:rsid w:val="00F72032"/>
    <w:rsid w:val="00F953EB"/>
    <w:rsid w:val="00FC4664"/>
    <w:rsid w:val="00FD58E9"/>
    <w:rsid w:val="00FF3FBE"/>
    <w:rsid w:val="00FF51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B963C"/>
  <w15:chartTrackingRefBased/>
  <w15:docId w15:val="{C6A6F5A7-3B8F-49B5-9EF8-B53D9D41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65D"/>
    <w:pPr>
      <w:widowControl w:val="0"/>
      <w:spacing w:after="0" w:line="260" w:lineRule="atLeast"/>
    </w:pPr>
    <w:rPr>
      <w:rFonts w:ascii="Arial" w:eastAsia="Calibri" w:hAnsi="Arial" w:cs="Times New Roman"/>
      <w:sz w:val="20"/>
      <w:lang w:val="fr-CH"/>
    </w:rPr>
  </w:style>
  <w:style w:type="paragraph" w:styleId="Titre1">
    <w:name w:val="heading 1"/>
    <w:basedOn w:val="Normal"/>
    <w:next w:val="Normal"/>
    <w:link w:val="Titre1Car"/>
    <w:qFormat/>
    <w:rsid w:val="00F2165D"/>
    <w:pPr>
      <w:keepNext/>
      <w:keepLines/>
      <w:numPr>
        <w:numId w:val="1"/>
      </w:numPr>
      <w:spacing w:before="620" w:after="260"/>
      <w:contextualSpacing/>
      <w:outlineLvl w:val="0"/>
    </w:pPr>
    <w:rPr>
      <w:rFonts w:eastAsia="Times New Roman"/>
      <w:b/>
      <w:bCs/>
      <w:sz w:val="36"/>
      <w:szCs w:val="28"/>
    </w:rPr>
  </w:style>
  <w:style w:type="paragraph" w:styleId="Titre2">
    <w:name w:val="heading 2"/>
    <w:basedOn w:val="Normal"/>
    <w:next w:val="Normal"/>
    <w:link w:val="Titre2Car"/>
    <w:unhideWhenUsed/>
    <w:qFormat/>
    <w:rsid w:val="00F2165D"/>
    <w:pPr>
      <w:keepNext/>
      <w:keepLines/>
      <w:numPr>
        <w:ilvl w:val="1"/>
        <w:numId w:val="1"/>
      </w:numPr>
      <w:spacing w:before="580" w:after="120"/>
      <w:contextualSpacing/>
      <w:outlineLvl w:val="1"/>
    </w:pPr>
    <w:rPr>
      <w:rFonts w:eastAsia="Times New Roman"/>
      <w:b/>
      <w:bCs/>
      <w:sz w:val="30"/>
      <w:szCs w:val="26"/>
    </w:rPr>
  </w:style>
  <w:style w:type="paragraph" w:styleId="Titre3">
    <w:name w:val="heading 3"/>
    <w:basedOn w:val="Normal"/>
    <w:next w:val="Normal"/>
    <w:link w:val="Titre3Car"/>
    <w:unhideWhenUsed/>
    <w:qFormat/>
    <w:rsid w:val="00F2165D"/>
    <w:pPr>
      <w:keepNext/>
      <w:keepLines/>
      <w:numPr>
        <w:ilvl w:val="2"/>
        <w:numId w:val="1"/>
      </w:numPr>
      <w:spacing w:before="380" w:after="120"/>
      <w:contextualSpacing/>
      <w:outlineLvl w:val="2"/>
    </w:pPr>
    <w:rPr>
      <w:rFonts w:eastAsia="Times New Roman"/>
      <w:b/>
      <w:bCs/>
      <w:sz w:val="24"/>
      <w:szCs w:val="20"/>
    </w:rPr>
  </w:style>
  <w:style w:type="paragraph" w:styleId="Titre4">
    <w:name w:val="heading 4"/>
    <w:basedOn w:val="Normal"/>
    <w:next w:val="Normal"/>
    <w:link w:val="Titre4Car"/>
    <w:qFormat/>
    <w:rsid w:val="00F2165D"/>
    <w:pPr>
      <w:keepNext/>
      <w:keepLines/>
      <w:numPr>
        <w:ilvl w:val="3"/>
        <w:numId w:val="1"/>
      </w:numPr>
      <w:tabs>
        <w:tab w:val="left" w:pos="1276"/>
      </w:tabs>
      <w:spacing w:before="460" w:after="60"/>
      <w:contextualSpacing/>
      <w:outlineLvl w:val="3"/>
    </w:pPr>
    <w:rPr>
      <w:rFonts w:eastAsia="Times New Roman"/>
      <w:b/>
      <w:bCs/>
      <w:sz w:val="22"/>
      <w:szCs w:val="28"/>
      <w:lang w:eastAsia="de-DE"/>
    </w:rPr>
  </w:style>
  <w:style w:type="paragraph" w:styleId="Titre5">
    <w:name w:val="heading 5"/>
    <w:basedOn w:val="Normal"/>
    <w:next w:val="Normal"/>
    <w:link w:val="Titre5Car"/>
    <w:qFormat/>
    <w:rsid w:val="00F2165D"/>
    <w:pPr>
      <w:keepNext/>
      <w:keepLines/>
      <w:numPr>
        <w:ilvl w:val="4"/>
        <w:numId w:val="1"/>
      </w:numPr>
      <w:tabs>
        <w:tab w:val="left" w:pos="1418"/>
        <w:tab w:val="left" w:pos="1559"/>
      </w:tabs>
      <w:spacing w:before="460" w:after="60"/>
      <w:contextualSpacing/>
      <w:outlineLvl w:val="4"/>
    </w:pPr>
    <w:rPr>
      <w:rFonts w:eastAsia="Times New Roman"/>
      <w:b/>
      <w:bCs/>
      <w:i/>
      <w:iCs/>
      <w:sz w:val="22"/>
      <w:szCs w:val="26"/>
      <w:lang w:eastAsia="de-DE"/>
    </w:rPr>
  </w:style>
  <w:style w:type="paragraph" w:styleId="Titre6">
    <w:name w:val="heading 6"/>
    <w:basedOn w:val="Normal"/>
    <w:next w:val="Normal"/>
    <w:link w:val="Titre6Car"/>
    <w:qFormat/>
    <w:rsid w:val="00F2165D"/>
    <w:pPr>
      <w:keepNext/>
      <w:keepLines/>
      <w:numPr>
        <w:ilvl w:val="5"/>
        <w:numId w:val="1"/>
      </w:numPr>
      <w:tabs>
        <w:tab w:val="left" w:pos="1559"/>
        <w:tab w:val="left" w:pos="1701"/>
        <w:tab w:val="left" w:pos="1843"/>
      </w:tabs>
      <w:spacing w:before="460" w:after="60"/>
      <w:contextualSpacing/>
      <w:outlineLvl w:val="5"/>
    </w:pPr>
    <w:rPr>
      <w:rFonts w:eastAsia="Times New Roman"/>
      <w:bCs/>
      <w:sz w:val="22"/>
      <w:szCs w:val="20"/>
      <w:lang w:eastAsia="de-DE"/>
    </w:rPr>
  </w:style>
  <w:style w:type="paragraph" w:styleId="Titre7">
    <w:name w:val="heading 7"/>
    <w:basedOn w:val="Normal"/>
    <w:next w:val="Normal"/>
    <w:link w:val="Titre7Car"/>
    <w:qFormat/>
    <w:rsid w:val="00F2165D"/>
    <w:pPr>
      <w:keepNext/>
      <w:keepLines/>
      <w:numPr>
        <w:ilvl w:val="6"/>
        <w:numId w:val="1"/>
      </w:numPr>
      <w:tabs>
        <w:tab w:val="left" w:pos="1701"/>
        <w:tab w:val="left" w:pos="1843"/>
        <w:tab w:val="left" w:pos="1985"/>
        <w:tab w:val="left" w:pos="2126"/>
      </w:tabs>
      <w:spacing w:before="460" w:after="60"/>
      <w:contextualSpacing/>
      <w:outlineLvl w:val="6"/>
    </w:pPr>
    <w:rPr>
      <w:rFonts w:eastAsia="Times New Roman"/>
      <w:i/>
      <w:sz w:val="22"/>
      <w:szCs w:val="24"/>
      <w:lang w:eastAsia="de-DE"/>
    </w:rPr>
  </w:style>
  <w:style w:type="paragraph" w:styleId="Titre8">
    <w:name w:val="heading 8"/>
    <w:basedOn w:val="Normal"/>
    <w:next w:val="Normal"/>
    <w:link w:val="Titre8Car"/>
    <w:qFormat/>
    <w:rsid w:val="00F2165D"/>
    <w:pPr>
      <w:keepNext/>
      <w:keepLines/>
      <w:numPr>
        <w:ilvl w:val="7"/>
        <w:numId w:val="1"/>
      </w:numPr>
      <w:tabs>
        <w:tab w:val="left" w:pos="1843"/>
        <w:tab w:val="left" w:pos="1985"/>
        <w:tab w:val="left" w:pos="2126"/>
        <w:tab w:val="left" w:pos="2268"/>
      </w:tabs>
      <w:spacing w:before="460" w:after="60"/>
      <w:outlineLvl w:val="7"/>
    </w:pPr>
    <w:rPr>
      <w:rFonts w:eastAsia="Times New Roman"/>
      <w:iCs/>
      <w:szCs w:val="24"/>
      <w:lang w:eastAsia="de-DE"/>
    </w:rPr>
  </w:style>
  <w:style w:type="paragraph" w:styleId="Titre9">
    <w:name w:val="heading 9"/>
    <w:basedOn w:val="Normal"/>
    <w:next w:val="Normal"/>
    <w:link w:val="Titre9Car"/>
    <w:qFormat/>
    <w:rsid w:val="00F2165D"/>
    <w:pPr>
      <w:keepNext/>
      <w:keepLines/>
      <w:numPr>
        <w:ilvl w:val="8"/>
        <w:numId w:val="1"/>
      </w:numPr>
      <w:tabs>
        <w:tab w:val="left" w:pos="1985"/>
        <w:tab w:val="left" w:pos="2126"/>
        <w:tab w:val="left" w:pos="2268"/>
        <w:tab w:val="left" w:pos="2410"/>
        <w:tab w:val="left" w:pos="2552"/>
      </w:tabs>
      <w:spacing w:before="460" w:after="60"/>
      <w:contextualSpacing/>
      <w:outlineLvl w:val="8"/>
    </w:pPr>
    <w:rPr>
      <w:rFonts w:eastAsia="Times New Roman" w:cs="Arial"/>
      <w:i/>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2165D"/>
    <w:rPr>
      <w:rFonts w:ascii="Arial" w:eastAsia="Times New Roman" w:hAnsi="Arial" w:cs="Times New Roman"/>
      <w:b/>
      <w:bCs/>
      <w:sz w:val="36"/>
      <w:szCs w:val="28"/>
      <w:lang w:val="fr-CH"/>
    </w:rPr>
  </w:style>
  <w:style w:type="character" w:customStyle="1" w:styleId="Titre2Car">
    <w:name w:val="Titre 2 Car"/>
    <w:basedOn w:val="Policepardfaut"/>
    <w:link w:val="Titre2"/>
    <w:rsid w:val="00F2165D"/>
    <w:rPr>
      <w:rFonts w:ascii="Arial" w:eastAsia="Times New Roman" w:hAnsi="Arial" w:cs="Times New Roman"/>
      <w:b/>
      <w:bCs/>
      <w:sz w:val="30"/>
      <w:szCs w:val="26"/>
      <w:lang w:val="fr-CH"/>
    </w:rPr>
  </w:style>
  <w:style w:type="character" w:customStyle="1" w:styleId="Titre3Car">
    <w:name w:val="Titre 3 Car"/>
    <w:basedOn w:val="Policepardfaut"/>
    <w:link w:val="Titre3"/>
    <w:rsid w:val="00F2165D"/>
    <w:rPr>
      <w:rFonts w:ascii="Arial" w:eastAsia="Times New Roman" w:hAnsi="Arial" w:cs="Times New Roman"/>
      <w:b/>
      <w:bCs/>
      <w:sz w:val="24"/>
      <w:szCs w:val="20"/>
      <w:lang w:val="fr-CH"/>
    </w:rPr>
  </w:style>
  <w:style w:type="character" w:customStyle="1" w:styleId="Titre4Car">
    <w:name w:val="Titre 4 Car"/>
    <w:basedOn w:val="Policepardfaut"/>
    <w:link w:val="Titre4"/>
    <w:rsid w:val="00F2165D"/>
    <w:rPr>
      <w:rFonts w:ascii="Arial" w:eastAsia="Times New Roman" w:hAnsi="Arial" w:cs="Times New Roman"/>
      <w:b/>
      <w:bCs/>
      <w:szCs w:val="28"/>
      <w:lang w:val="fr-CH" w:eastAsia="de-DE"/>
    </w:rPr>
  </w:style>
  <w:style w:type="character" w:customStyle="1" w:styleId="Titre5Car">
    <w:name w:val="Titre 5 Car"/>
    <w:basedOn w:val="Policepardfaut"/>
    <w:link w:val="Titre5"/>
    <w:rsid w:val="00F2165D"/>
    <w:rPr>
      <w:rFonts w:ascii="Arial" w:eastAsia="Times New Roman" w:hAnsi="Arial" w:cs="Times New Roman"/>
      <w:b/>
      <w:bCs/>
      <w:i/>
      <w:iCs/>
      <w:szCs w:val="26"/>
      <w:lang w:val="fr-CH" w:eastAsia="de-DE"/>
    </w:rPr>
  </w:style>
  <w:style w:type="character" w:customStyle="1" w:styleId="Titre6Car">
    <w:name w:val="Titre 6 Car"/>
    <w:basedOn w:val="Policepardfaut"/>
    <w:link w:val="Titre6"/>
    <w:rsid w:val="00F2165D"/>
    <w:rPr>
      <w:rFonts w:ascii="Arial" w:eastAsia="Times New Roman" w:hAnsi="Arial" w:cs="Times New Roman"/>
      <w:bCs/>
      <w:szCs w:val="20"/>
      <w:lang w:val="fr-CH" w:eastAsia="de-DE"/>
    </w:rPr>
  </w:style>
  <w:style w:type="character" w:customStyle="1" w:styleId="Titre7Car">
    <w:name w:val="Titre 7 Car"/>
    <w:basedOn w:val="Policepardfaut"/>
    <w:link w:val="Titre7"/>
    <w:rsid w:val="00F2165D"/>
    <w:rPr>
      <w:rFonts w:ascii="Arial" w:eastAsia="Times New Roman" w:hAnsi="Arial" w:cs="Times New Roman"/>
      <w:i/>
      <w:szCs w:val="24"/>
      <w:lang w:val="fr-CH" w:eastAsia="de-DE"/>
    </w:rPr>
  </w:style>
  <w:style w:type="character" w:customStyle="1" w:styleId="Titre8Car">
    <w:name w:val="Titre 8 Car"/>
    <w:basedOn w:val="Policepardfaut"/>
    <w:link w:val="Titre8"/>
    <w:rsid w:val="00F2165D"/>
    <w:rPr>
      <w:rFonts w:ascii="Arial" w:eastAsia="Times New Roman" w:hAnsi="Arial" w:cs="Times New Roman"/>
      <w:iCs/>
      <w:sz w:val="20"/>
      <w:szCs w:val="24"/>
      <w:lang w:val="fr-CH" w:eastAsia="de-DE"/>
    </w:rPr>
  </w:style>
  <w:style w:type="character" w:customStyle="1" w:styleId="Titre9Car">
    <w:name w:val="Titre 9 Car"/>
    <w:basedOn w:val="Policepardfaut"/>
    <w:link w:val="Titre9"/>
    <w:rsid w:val="00F2165D"/>
    <w:rPr>
      <w:rFonts w:ascii="Arial" w:eastAsia="Times New Roman" w:hAnsi="Arial" w:cs="Arial"/>
      <w:i/>
      <w:sz w:val="20"/>
      <w:szCs w:val="20"/>
      <w:lang w:val="fr-CH" w:eastAsia="de-DE"/>
    </w:rPr>
  </w:style>
  <w:style w:type="paragraph" w:styleId="En-tte">
    <w:name w:val="header"/>
    <w:basedOn w:val="Normal"/>
    <w:link w:val="En-tteCar"/>
    <w:uiPriority w:val="99"/>
    <w:unhideWhenUsed/>
    <w:qFormat/>
    <w:rsid w:val="00F2165D"/>
    <w:pPr>
      <w:suppressAutoHyphens/>
      <w:spacing w:line="200" w:lineRule="atLeast"/>
    </w:pPr>
    <w:rPr>
      <w:sz w:val="15"/>
    </w:rPr>
  </w:style>
  <w:style w:type="character" w:customStyle="1" w:styleId="En-tteCar">
    <w:name w:val="En-tête Car"/>
    <w:basedOn w:val="Policepardfaut"/>
    <w:link w:val="En-tte"/>
    <w:uiPriority w:val="99"/>
    <w:rsid w:val="00F2165D"/>
    <w:rPr>
      <w:rFonts w:ascii="Arial" w:eastAsia="Calibri" w:hAnsi="Arial" w:cs="Times New Roman"/>
      <w:sz w:val="15"/>
      <w:lang w:val="fr-CH"/>
    </w:rPr>
  </w:style>
  <w:style w:type="paragraph" w:styleId="Pieddepage">
    <w:name w:val="footer"/>
    <w:basedOn w:val="Normal"/>
    <w:link w:val="PieddepageCar"/>
    <w:unhideWhenUsed/>
    <w:rsid w:val="00F2165D"/>
    <w:pPr>
      <w:spacing w:line="160" w:lineRule="atLeast"/>
    </w:pPr>
    <w:rPr>
      <w:sz w:val="12"/>
    </w:rPr>
  </w:style>
  <w:style w:type="character" w:customStyle="1" w:styleId="PieddepageCar">
    <w:name w:val="Pied de page Car"/>
    <w:basedOn w:val="Policepardfaut"/>
    <w:link w:val="Pieddepage"/>
    <w:rsid w:val="00F2165D"/>
    <w:rPr>
      <w:rFonts w:ascii="Arial" w:eastAsia="Calibri" w:hAnsi="Arial" w:cs="Times New Roman"/>
      <w:sz w:val="12"/>
      <w:lang w:val="fr-CH"/>
    </w:rPr>
  </w:style>
  <w:style w:type="paragraph" w:customStyle="1" w:styleId="KopfzeileDepartement">
    <w:name w:val="KopfzeileDepartement"/>
    <w:basedOn w:val="En-tte"/>
    <w:next w:val="KopfzeileFett"/>
    <w:rsid w:val="00F2165D"/>
    <w:pPr>
      <w:spacing w:after="100"/>
      <w:contextualSpacing/>
    </w:pPr>
  </w:style>
  <w:style w:type="paragraph" w:customStyle="1" w:styleId="KopfzeileFett">
    <w:name w:val="KopfzeileFett"/>
    <w:basedOn w:val="En-tte"/>
    <w:next w:val="En-tte"/>
    <w:rsid w:val="00F2165D"/>
    <w:rPr>
      <w:b/>
    </w:rPr>
  </w:style>
  <w:style w:type="paragraph" w:customStyle="1" w:styleId="Referenz">
    <w:name w:val="Referenz"/>
    <w:basedOn w:val="Normal"/>
    <w:rsid w:val="00F2165D"/>
    <w:pPr>
      <w:suppressAutoHyphens/>
      <w:spacing w:line="200" w:lineRule="atLeast"/>
    </w:pPr>
    <w:rPr>
      <w:sz w:val="15"/>
    </w:rPr>
  </w:style>
  <w:style w:type="paragraph" w:styleId="Sous-titre">
    <w:name w:val="Subtitle"/>
    <w:basedOn w:val="Normal"/>
    <w:next w:val="Normal"/>
    <w:link w:val="Sous-titreCar"/>
    <w:qFormat/>
    <w:rsid w:val="00F2165D"/>
    <w:pPr>
      <w:numPr>
        <w:ilvl w:val="1"/>
      </w:numPr>
    </w:pPr>
    <w:rPr>
      <w:rFonts w:eastAsia="Times New Roman"/>
      <w:iCs/>
      <w:sz w:val="42"/>
      <w:szCs w:val="24"/>
    </w:rPr>
  </w:style>
  <w:style w:type="character" w:customStyle="1" w:styleId="Sous-titreCar">
    <w:name w:val="Sous-titre Car"/>
    <w:basedOn w:val="Policepardfaut"/>
    <w:link w:val="Sous-titre"/>
    <w:rsid w:val="00F2165D"/>
    <w:rPr>
      <w:rFonts w:ascii="Arial" w:eastAsia="Times New Roman" w:hAnsi="Arial" w:cs="Times New Roman"/>
      <w:iCs/>
      <w:sz w:val="42"/>
      <w:szCs w:val="24"/>
      <w:lang w:val="fr-CH"/>
    </w:rPr>
  </w:style>
  <w:style w:type="paragraph" w:customStyle="1" w:styleId="Datum1">
    <w:name w:val="Datum1"/>
    <w:basedOn w:val="Normal"/>
    <w:next w:val="Normal"/>
    <w:rsid w:val="00F2165D"/>
    <w:pPr>
      <w:widowControl/>
    </w:pPr>
    <w:rPr>
      <w:rFonts w:eastAsia="Times New Roman"/>
      <w:szCs w:val="20"/>
      <w:lang w:val="de-CH" w:eastAsia="de-CH"/>
    </w:rPr>
  </w:style>
  <w:style w:type="paragraph" w:styleId="Paragraphedeliste">
    <w:name w:val="List Paragraph"/>
    <w:basedOn w:val="Normal"/>
    <w:uiPriority w:val="34"/>
    <w:qFormat/>
    <w:rsid w:val="00F2165D"/>
    <w:pPr>
      <w:widowControl/>
      <w:ind w:left="720"/>
      <w:contextualSpacing/>
    </w:pPr>
    <w:rPr>
      <w:rFonts w:eastAsia="Times New Roman"/>
      <w:szCs w:val="20"/>
      <w:lang w:val="de-CH" w:eastAsia="de-CH"/>
    </w:rPr>
  </w:style>
  <w:style w:type="character" w:styleId="Titredulivre">
    <w:name w:val="Book Title"/>
    <w:uiPriority w:val="33"/>
    <w:qFormat/>
    <w:rsid w:val="00F2165D"/>
    <w:rPr>
      <w:b/>
      <w:bCs/>
      <w:smallCaps/>
      <w:spacing w:val="5"/>
    </w:rPr>
  </w:style>
  <w:style w:type="character" w:styleId="Accentuation">
    <w:name w:val="Emphasis"/>
    <w:basedOn w:val="Policepardfaut"/>
    <w:uiPriority w:val="20"/>
    <w:qFormat/>
    <w:rsid w:val="00F2165D"/>
    <w:rPr>
      <w:b/>
      <w:bCs/>
      <w:i w:val="0"/>
      <w:iCs w:val="0"/>
    </w:rPr>
  </w:style>
  <w:style w:type="character" w:customStyle="1" w:styleId="st1">
    <w:name w:val="st1"/>
    <w:basedOn w:val="Policepardfaut"/>
    <w:rsid w:val="00F2165D"/>
  </w:style>
  <w:style w:type="table" w:styleId="Grilledutableau">
    <w:name w:val="Table Grid"/>
    <w:basedOn w:val="TableauNormal"/>
    <w:uiPriority w:val="39"/>
    <w:rsid w:val="00F2165D"/>
    <w:pPr>
      <w:spacing w:after="0" w:line="240" w:lineRule="auto"/>
    </w:pPr>
    <w:rPr>
      <w:rFonts w:ascii="Arial" w:eastAsia="Calibri" w:hAnsi="Arial"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olicepardfaut"/>
    <w:rsid w:val="00F2165D"/>
  </w:style>
  <w:style w:type="table" w:customStyle="1" w:styleId="Tabellenraster1">
    <w:name w:val="Tabellenraster1"/>
    <w:basedOn w:val="TableauNormal"/>
    <w:next w:val="Grilledutableau"/>
    <w:uiPriority w:val="59"/>
    <w:rsid w:val="00776F59"/>
    <w:pPr>
      <w:spacing w:after="0" w:line="240" w:lineRule="auto"/>
    </w:pPr>
    <w:rPr>
      <w:rFonts w:ascii="Arial" w:eastAsia="Calibri" w:hAnsi="Arial"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D58E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58E9"/>
    <w:rPr>
      <w:rFonts w:ascii="Segoe UI" w:eastAsia="Calibri" w:hAnsi="Segoe UI" w:cs="Segoe UI"/>
      <w:sz w:val="18"/>
      <w:szCs w:val="18"/>
      <w:lang w:val="fr-CH"/>
    </w:rPr>
  </w:style>
  <w:style w:type="character" w:styleId="Marquedecommentaire">
    <w:name w:val="annotation reference"/>
    <w:basedOn w:val="Policepardfaut"/>
    <w:uiPriority w:val="99"/>
    <w:semiHidden/>
    <w:unhideWhenUsed/>
    <w:rsid w:val="00C051A8"/>
    <w:rPr>
      <w:sz w:val="16"/>
      <w:szCs w:val="16"/>
    </w:rPr>
  </w:style>
  <w:style w:type="paragraph" w:styleId="Commentaire">
    <w:name w:val="annotation text"/>
    <w:basedOn w:val="Normal"/>
    <w:link w:val="CommentaireCar"/>
    <w:uiPriority w:val="99"/>
    <w:semiHidden/>
    <w:unhideWhenUsed/>
    <w:rsid w:val="00C051A8"/>
    <w:pPr>
      <w:spacing w:line="240" w:lineRule="auto"/>
    </w:pPr>
    <w:rPr>
      <w:szCs w:val="20"/>
    </w:rPr>
  </w:style>
  <w:style w:type="character" w:customStyle="1" w:styleId="CommentaireCar">
    <w:name w:val="Commentaire Car"/>
    <w:basedOn w:val="Policepardfaut"/>
    <w:link w:val="Commentaire"/>
    <w:uiPriority w:val="99"/>
    <w:semiHidden/>
    <w:rsid w:val="00C051A8"/>
    <w:rPr>
      <w:rFonts w:ascii="Arial" w:eastAsia="Calibri" w:hAnsi="Arial" w:cs="Times New Roman"/>
      <w:sz w:val="20"/>
      <w:szCs w:val="20"/>
      <w:lang w:val="fr-CH"/>
    </w:rPr>
  </w:style>
  <w:style w:type="paragraph" w:styleId="Objetducommentaire">
    <w:name w:val="annotation subject"/>
    <w:basedOn w:val="Commentaire"/>
    <w:next w:val="Commentaire"/>
    <w:link w:val="ObjetducommentaireCar"/>
    <w:uiPriority w:val="99"/>
    <w:semiHidden/>
    <w:unhideWhenUsed/>
    <w:rsid w:val="00C051A8"/>
    <w:rPr>
      <w:b/>
      <w:bCs/>
    </w:rPr>
  </w:style>
  <w:style w:type="character" w:customStyle="1" w:styleId="ObjetducommentaireCar">
    <w:name w:val="Objet du commentaire Car"/>
    <w:basedOn w:val="CommentaireCar"/>
    <w:link w:val="Objetducommentaire"/>
    <w:uiPriority w:val="99"/>
    <w:semiHidden/>
    <w:rsid w:val="00C051A8"/>
    <w:rPr>
      <w:rFonts w:ascii="Arial" w:eastAsia="Calibri" w:hAnsi="Arial" w:cs="Times New Roman"/>
      <w:b/>
      <w:bCs/>
      <w:sz w:val="20"/>
      <w:szCs w:val="20"/>
      <w:lang w:val="fr-CH"/>
    </w:rPr>
  </w:style>
  <w:style w:type="paragraph" w:styleId="Rvision">
    <w:name w:val="Revision"/>
    <w:hidden/>
    <w:uiPriority w:val="99"/>
    <w:semiHidden/>
    <w:rsid w:val="00A93A85"/>
    <w:pPr>
      <w:spacing w:after="0" w:line="240" w:lineRule="auto"/>
    </w:pPr>
    <w:rPr>
      <w:rFonts w:ascii="Arial" w:eastAsia="Calibri" w:hAnsi="Arial" w:cs="Times New Roman"/>
      <w:sz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25514">
      <w:bodyDiv w:val="1"/>
      <w:marLeft w:val="0"/>
      <w:marRight w:val="0"/>
      <w:marTop w:val="0"/>
      <w:marBottom w:val="0"/>
      <w:divBdr>
        <w:top w:val="none" w:sz="0" w:space="0" w:color="auto"/>
        <w:left w:val="none" w:sz="0" w:space="0" w:color="auto"/>
        <w:bottom w:val="none" w:sz="0" w:space="0" w:color="auto"/>
        <w:right w:val="none" w:sz="0" w:space="0" w:color="auto"/>
      </w:divBdr>
    </w:div>
    <w:div w:id="201421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66727-AB13-41C9-B519-CB7C5877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2396</Words>
  <Characters>13184</Characters>
  <Application>Microsoft Office Word</Application>
  <DocSecurity>0</DocSecurity>
  <Lines>109</Lines>
  <Paragraphs>31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Bundesverwaltung</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Zihler Stefanie BAG</dc:creator>
  <cp:keywords/>
  <dc:description/>
  <cp:lastModifiedBy>Üründü Ulas BAG</cp:lastModifiedBy>
  <cp:revision>117</cp:revision>
  <dcterms:created xsi:type="dcterms:W3CDTF">2020-01-23T09:44:00Z</dcterms:created>
  <dcterms:modified xsi:type="dcterms:W3CDTF">2025-02-03T09:10:00Z</dcterms:modified>
</cp:coreProperties>
</file>