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2A044" w14:textId="77777777" w:rsidR="006236B4" w:rsidRPr="001759CC" w:rsidRDefault="006236B4" w:rsidP="006236B4"/>
    <w:tbl>
      <w:tblPr>
        <w:tblW w:w="9072" w:type="dxa"/>
        <w:tblLayout w:type="fixed"/>
        <w:tblCellMar>
          <w:left w:w="0" w:type="dxa"/>
          <w:right w:w="0" w:type="dxa"/>
        </w:tblCellMar>
        <w:tblLook w:val="0000" w:firstRow="0" w:lastRow="0" w:firstColumn="0" w:lastColumn="0" w:noHBand="0" w:noVBand="0"/>
      </w:tblPr>
      <w:tblGrid>
        <w:gridCol w:w="9072"/>
      </w:tblGrid>
      <w:tr w:rsidR="006236B4" w:rsidRPr="005D15B2" w14:paraId="0420B714" w14:textId="77777777" w:rsidTr="00CB694C">
        <w:trPr>
          <w:cantSplit/>
        </w:trPr>
        <w:tc>
          <w:tcPr>
            <w:tcW w:w="9072" w:type="dxa"/>
            <w:vAlign w:val="bottom"/>
          </w:tcPr>
          <w:p w14:paraId="155B4A94" w14:textId="77777777" w:rsidR="006236B4" w:rsidRPr="005D15B2" w:rsidRDefault="006236B4" w:rsidP="00CB694C">
            <w:pPr>
              <w:pStyle w:val="Title"/>
              <w:rPr>
                <w:sz w:val="48"/>
                <w:szCs w:val="48"/>
              </w:rPr>
            </w:pPr>
            <w:r w:rsidRPr="005D15B2">
              <w:rPr>
                <w:sz w:val="48"/>
                <w:szCs w:val="48"/>
              </w:rPr>
              <w:t>Bericht zum KVG-Solvenztest (Vorlage)</w:t>
            </w:r>
          </w:p>
          <w:p w14:paraId="6A48C0FE" w14:textId="77777777" w:rsidR="006236B4" w:rsidRPr="005D15B2" w:rsidRDefault="006236B4" w:rsidP="00CB694C">
            <w:pPr>
              <w:pStyle w:val="Title"/>
              <w:rPr>
                <w:sz w:val="48"/>
                <w:szCs w:val="48"/>
              </w:rPr>
            </w:pPr>
          </w:p>
        </w:tc>
      </w:tr>
    </w:tbl>
    <w:p w14:paraId="761C35D5" w14:textId="77777777" w:rsidR="006236B4" w:rsidRPr="005D15B2" w:rsidRDefault="006236B4" w:rsidP="006236B4">
      <w:pPr>
        <w:pStyle w:val="Subtitle"/>
      </w:pPr>
    </w:p>
    <w:tbl>
      <w:tblPr>
        <w:tblW w:w="9923" w:type="dxa"/>
        <w:tblLayout w:type="fixed"/>
        <w:tblCellMar>
          <w:left w:w="0" w:type="dxa"/>
          <w:right w:w="0" w:type="dxa"/>
        </w:tblCellMar>
        <w:tblLook w:val="01E0" w:firstRow="1" w:lastRow="1" w:firstColumn="1" w:lastColumn="1" w:noHBand="0" w:noVBand="0"/>
      </w:tblPr>
      <w:tblGrid>
        <w:gridCol w:w="9923"/>
      </w:tblGrid>
      <w:tr w:rsidR="006236B4" w:rsidRPr="005D15B2" w14:paraId="3C306965" w14:textId="77777777" w:rsidTr="00CB694C">
        <w:trPr>
          <w:cantSplit/>
        </w:trPr>
        <w:tc>
          <w:tcPr>
            <w:tcW w:w="9072" w:type="dxa"/>
            <w:vAlign w:val="bottom"/>
          </w:tcPr>
          <w:p w14:paraId="334A15BB" w14:textId="77777777" w:rsidR="006236B4" w:rsidRPr="005D15B2" w:rsidRDefault="006236B4" w:rsidP="00CB694C">
            <w:pPr>
              <w:pStyle w:val="Referenz"/>
              <w:rPr>
                <w:b/>
                <w:bCs/>
              </w:rPr>
            </w:pPr>
          </w:p>
        </w:tc>
      </w:tr>
      <w:tr w:rsidR="006236B4" w:rsidRPr="005D15B2" w14:paraId="72E4C872" w14:textId="77777777" w:rsidTr="00CB694C">
        <w:trPr>
          <w:cantSplit/>
        </w:trPr>
        <w:tc>
          <w:tcPr>
            <w:tcW w:w="9072" w:type="dxa"/>
            <w:vAlign w:val="bottom"/>
          </w:tcPr>
          <w:p w14:paraId="284825F4" w14:textId="77777777" w:rsidR="006236B4" w:rsidRPr="005D15B2" w:rsidRDefault="006236B4" w:rsidP="00CB694C">
            <w:pPr>
              <w:pStyle w:val="Referenz"/>
            </w:pPr>
            <w:r w:rsidRPr="005D15B2">
              <w:t>Diese Publikation erscheint ebenfalls in französischer Sprache.</w:t>
            </w:r>
          </w:p>
        </w:tc>
      </w:tr>
    </w:tbl>
    <w:p w14:paraId="4DEAB034" w14:textId="77777777" w:rsidR="006236B4" w:rsidRPr="005D15B2" w:rsidRDefault="006236B4" w:rsidP="006236B4">
      <w:pPr>
        <w:pStyle w:val="Referenz"/>
      </w:pPr>
    </w:p>
    <w:tbl>
      <w:tblPr>
        <w:tblW w:w="9072" w:type="dxa"/>
        <w:tblLayout w:type="fixed"/>
        <w:tblCellMar>
          <w:left w:w="0" w:type="dxa"/>
          <w:right w:w="0" w:type="dxa"/>
        </w:tblCellMar>
        <w:tblLook w:val="0000" w:firstRow="0" w:lastRow="0" w:firstColumn="0" w:lastColumn="0" w:noHBand="0" w:noVBand="0"/>
      </w:tblPr>
      <w:tblGrid>
        <w:gridCol w:w="4253"/>
        <w:gridCol w:w="4819"/>
      </w:tblGrid>
      <w:tr w:rsidR="006236B4" w:rsidRPr="005D15B2" w14:paraId="22C44B65" w14:textId="77777777" w:rsidTr="00CB694C">
        <w:trPr>
          <w:cantSplit/>
          <w:trHeight w:hRule="exact" w:val="340"/>
        </w:trPr>
        <w:tc>
          <w:tcPr>
            <w:tcW w:w="4253" w:type="dxa"/>
            <w:tcBorders>
              <w:top w:val="single" w:sz="4" w:space="0" w:color="auto"/>
            </w:tcBorders>
          </w:tcPr>
          <w:p w14:paraId="3F769F38" w14:textId="77777777" w:rsidR="006236B4" w:rsidRPr="005D15B2" w:rsidRDefault="006236B4" w:rsidP="00CB694C"/>
        </w:tc>
        <w:tc>
          <w:tcPr>
            <w:tcW w:w="4819" w:type="dxa"/>
            <w:tcBorders>
              <w:top w:val="single" w:sz="4" w:space="0" w:color="auto"/>
            </w:tcBorders>
          </w:tcPr>
          <w:p w14:paraId="44C70980" w14:textId="77777777" w:rsidR="006236B4" w:rsidRPr="005D15B2" w:rsidRDefault="006236B4" w:rsidP="00CB694C"/>
        </w:tc>
      </w:tr>
    </w:tbl>
    <w:p w14:paraId="5F8D17A3" w14:textId="77777777" w:rsidR="006236B4" w:rsidRPr="005D15B2" w:rsidRDefault="006236B4" w:rsidP="006236B4">
      <w:pPr>
        <w:spacing w:line="240" w:lineRule="auto"/>
        <w:rPr>
          <w:sz w:val="4"/>
        </w:rPr>
      </w:pPr>
    </w:p>
    <w:tbl>
      <w:tblPr>
        <w:tblW w:w="9072" w:type="dxa"/>
        <w:tblLayout w:type="fixed"/>
        <w:tblCellMar>
          <w:left w:w="0" w:type="dxa"/>
          <w:right w:w="0" w:type="dxa"/>
        </w:tblCellMar>
        <w:tblLook w:val="0000" w:firstRow="0" w:lastRow="0" w:firstColumn="0" w:lastColumn="0" w:noHBand="0" w:noVBand="0"/>
      </w:tblPr>
      <w:tblGrid>
        <w:gridCol w:w="4253"/>
        <w:gridCol w:w="4819"/>
      </w:tblGrid>
      <w:tr w:rsidR="006236B4" w:rsidRPr="005D15B2" w14:paraId="4FBF9421" w14:textId="77777777" w:rsidTr="00CB694C">
        <w:trPr>
          <w:cantSplit/>
          <w:trHeight w:val="227"/>
        </w:trPr>
        <w:tc>
          <w:tcPr>
            <w:tcW w:w="4253" w:type="dxa"/>
            <w:vAlign w:val="center"/>
          </w:tcPr>
          <w:p w14:paraId="42D0C006" w14:textId="77777777" w:rsidR="006236B4" w:rsidRPr="005D15B2" w:rsidRDefault="006236B4" w:rsidP="00CB694C">
            <w:pPr>
              <w:pStyle w:val="Referenz"/>
              <w:rPr>
                <w:sz w:val="20"/>
                <w:szCs w:val="20"/>
              </w:rPr>
            </w:pPr>
            <w:r w:rsidRPr="005D15B2">
              <w:rPr>
                <w:sz w:val="20"/>
                <w:szCs w:val="20"/>
              </w:rPr>
              <w:t>Datum:</w:t>
            </w:r>
          </w:p>
        </w:tc>
        <w:tc>
          <w:tcPr>
            <w:tcW w:w="4819" w:type="dxa"/>
            <w:vAlign w:val="center"/>
          </w:tcPr>
          <w:p w14:paraId="5D639107" w14:textId="08A57819" w:rsidR="006236B4" w:rsidRPr="005D15B2" w:rsidRDefault="00CD53DB" w:rsidP="00575B75">
            <w:pPr>
              <w:pStyle w:val="Datum1"/>
              <w:numPr>
                <w:ilvl w:val="0"/>
                <w:numId w:val="22"/>
              </w:numPr>
            </w:pPr>
            <w:r>
              <w:t>Februar</w:t>
            </w:r>
            <w:r w:rsidRPr="005D15B2">
              <w:t xml:space="preserve"> </w:t>
            </w:r>
            <w:r w:rsidR="00B93767" w:rsidRPr="005D15B2">
              <w:t>202</w:t>
            </w:r>
            <w:r w:rsidR="008535D1">
              <w:t>5</w:t>
            </w:r>
          </w:p>
        </w:tc>
      </w:tr>
      <w:tr w:rsidR="006236B4" w:rsidRPr="005D15B2" w14:paraId="42D0CE8B" w14:textId="77777777" w:rsidTr="00CB694C">
        <w:trPr>
          <w:cantSplit/>
          <w:trHeight w:val="227"/>
        </w:trPr>
        <w:tc>
          <w:tcPr>
            <w:tcW w:w="4253" w:type="dxa"/>
            <w:vAlign w:val="center"/>
          </w:tcPr>
          <w:p w14:paraId="03A2A6FC" w14:textId="77777777" w:rsidR="006236B4" w:rsidRPr="005D15B2" w:rsidRDefault="006236B4" w:rsidP="00CB694C">
            <w:pPr>
              <w:pStyle w:val="Referenz"/>
            </w:pPr>
          </w:p>
        </w:tc>
        <w:tc>
          <w:tcPr>
            <w:tcW w:w="4819" w:type="dxa"/>
            <w:vAlign w:val="center"/>
          </w:tcPr>
          <w:p w14:paraId="11ECC1BB" w14:textId="77777777" w:rsidR="006236B4" w:rsidRPr="005D15B2" w:rsidRDefault="006236B4" w:rsidP="00CB694C"/>
        </w:tc>
      </w:tr>
    </w:tbl>
    <w:p w14:paraId="5F907965" w14:textId="77777777" w:rsidR="006236B4" w:rsidRPr="005D15B2" w:rsidRDefault="006236B4" w:rsidP="006236B4">
      <w:pPr>
        <w:spacing w:line="240" w:lineRule="auto"/>
        <w:rPr>
          <w:sz w:val="4"/>
        </w:rPr>
      </w:pPr>
    </w:p>
    <w:tbl>
      <w:tblPr>
        <w:tblW w:w="9072" w:type="dxa"/>
        <w:tblLayout w:type="fixed"/>
        <w:tblCellMar>
          <w:left w:w="0" w:type="dxa"/>
          <w:right w:w="0" w:type="dxa"/>
        </w:tblCellMar>
        <w:tblLook w:val="0000" w:firstRow="0" w:lastRow="0" w:firstColumn="0" w:lastColumn="0" w:noHBand="0" w:noVBand="0"/>
      </w:tblPr>
      <w:tblGrid>
        <w:gridCol w:w="4253"/>
        <w:gridCol w:w="4819"/>
      </w:tblGrid>
      <w:tr w:rsidR="006236B4" w:rsidRPr="005D15B2" w14:paraId="54BF43AD" w14:textId="77777777" w:rsidTr="00CB694C">
        <w:trPr>
          <w:cantSplit/>
          <w:trHeight w:hRule="exact" w:val="340"/>
        </w:trPr>
        <w:tc>
          <w:tcPr>
            <w:tcW w:w="4253" w:type="dxa"/>
            <w:tcBorders>
              <w:bottom w:val="single" w:sz="4" w:space="0" w:color="auto"/>
            </w:tcBorders>
            <w:vAlign w:val="center"/>
          </w:tcPr>
          <w:p w14:paraId="448DFBCC" w14:textId="77777777" w:rsidR="006236B4" w:rsidRPr="005D15B2" w:rsidRDefault="006236B4" w:rsidP="00CB694C"/>
        </w:tc>
        <w:tc>
          <w:tcPr>
            <w:tcW w:w="4819" w:type="dxa"/>
            <w:tcBorders>
              <w:bottom w:val="single" w:sz="4" w:space="0" w:color="auto"/>
            </w:tcBorders>
            <w:vAlign w:val="center"/>
          </w:tcPr>
          <w:p w14:paraId="16018E5D" w14:textId="77777777" w:rsidR="006236B4" w:rsidRPr="005D15B2" w:rsidRDefault="006236B4" w:rsidP="00CB694C"/>
        </w:tc>
      </w:tr>
    </w:tbl>
    <w:p w14:paraId="48941F09" w14:textId="77777777" w:rsidR="006236B4" w:rsidRPr="005D15B2" w:rsidRDefault="006236B4" w:rsidP="006236B4">
      <w:pPr>
        <w:pStyle w:val="Referenz"/>
      </w:pPr>
    </w:p>
    <w:p w14:paraId="75777847" w14:textId="77777777" w:rsidR="006236B4" w:rsidRPr="005D15B2" w:rsidRDefault="006236B4" w:rsidP="006236B4">
      <w:pPr>
        <w:rPr>
          <w:sz w:val="20"/>
          <w:szCs w:val="20"/>
        </w:rPr>
      </w:pPr>
      <w:r w:rsidRPr="005D15B2">
        <w:rPr>
          <w:sz w:val="20"/>
          <w:szCs w:val="20"/>
        </w:rPr>
        <w:t>Gemäss Art. 13 KVAV muss der ST-Bericht alle Informationen erhalten, die zum Verständnis der Ermittlung der vorhandenen Reserven und der Mindesthöhe der Reserven sowie der Risikosituation des Versicherers notwendig sind.</w:t>
      </w:r>
    </w:p>
    <w:p w14:paraId="034E3E19" w14:textId="77777777" w:rsidR="006236B4" w:rsidRPr="005D15B2" w:rsidRDefault="006236B4" w:rsidP="006236B4">
      <w:pPr>
        <w:rPr>
          <w:sz w:val="20"/>
          <w:szCs w:val="20"/>
        </w:rPr>
      </w:pPr>
    </w:p>
    <w:p w14:paraId="6BB0F3C3" w14:textId="3D661C4E" w:rsidR="006236B4" w:rsidRPr="00490BA8" w:rsidRDefault="006236B4" w:rsidP="006236B4">
      <w:pPr>
        <w:rPr>
          <w:bCs/>
          <w:sz w:val="20"/>
          <w:szCs w:val="20"/>
        </w:rPr>
      </w:pPr>
      <w:r w:rsidRPr="005D15B2">
        <w:rPr>
          <w:sz w:val="20"/>
          <w:szCs w:val="20"/>
        </w:rPr>
        <w:t xml:space="preserve">Das BAG stellt den Versicherern diese Vorlage zur Verfügung. Deren Benutzung ist nicht obligatorisch. Um die an den KVG-Solvenztest-Bericht gestellten Anforderungen zu erfüllen, wird </w:t>
      </w:r>
      <w:r w:rsidR="006A7212">
        <w:rPr>
          <w:sz w:val="20"/>
          <w:szCs w:val="20"/>
        </w:rPr>
        <w:t>jedoch</w:t>
      </w:r>
      <w:r w:rsidRPr="005D15B2">
        <w:rPr>
          <w:sz w:val="20"/>
          <w:szCs w:val="20"/>
        </w:rPr>
        <w:t xml:space="preserve"> empfohlen, die Vorlage zu verwenden.</w:t>
      </w:r>
    </w:p>
    <w:p w14:paraId="7E845FE6" w14:textId="77777777" w:rsidR="006236B4" w:rsidRPr="0056118C" w:rsidRDefault="006236B4" w:rsidP="006236B4">
      <w:pPr>
        <w:rPr>
          <w:bCs/>
          <w:sz w:val="20"/>
          <w:szCs w:val="20"/>
        </w:rPr>
      </w:pPr>
    </w:p>
    <w:p w14:paraId="5778826E" w14:textId="141A0A20" w:rsidR="00815304" w:rsidRDefault="008C6105" w:rsidP="00B93767">
      <w:pPr>
        <w:rPr>
          <w:b/>
          <w:sz w:val="20"/>
          <w:szCs w:val="20"/>
        </w:rPr>
      </w:pPr>
      <w:r w:rsidRPr="008C6105">
        <w:rPr>
          <w:bCs/>
          <w:sz w:val="20"/>
          <w:szCs w:val="20"/>
        </w:rPr>
        <w:t>Diese Version der Berichtsvorlage enthält keine grö</w:t>
      </w:r>
      <w:r>
        <w:rPr>
          <w:bCs/>
          <w:sz w:val="20"/>
          <w:szCs w:val="20"/>
        </w:rPr>
        <w:t>ss</w:t>
      </w:r>
      <w:r w:rsidRPr="008C6105">
        <w:rPr>
          <w:bCs/>
          <w:sz w:val="20"/>
          <w:szCs w:val="20"/>
        </w:rPr>
        <w:t>eren Änderungen im Vergleich zur vorherigen Version.</w:t>
      </w:r>
      <w:r w:rsidR="00500A99">
        <w:rPr>
          <w:bCs/>
          <w:sz w:val="20"/>
          <w:szCs w:val="20"/>
        </w:rPr>
        <w:t xml:space="preserve"> </w:t>
      </w:r>
      <w:r w:rsidR="00500A99" w:rsidRPr="00500A99">
        <w:rPr>
          <w:bCs/>
          <w:sz w:val="20"/>
          <w:szCs w:val="20"/>
        </w:rPr>
        <w:t xml:space="preserve">Teil </w:t>
      </w:r>
      <w:r w:rsidR="00500A99">
        <w:rPr>
          <w:bCs/>
          <w:sz w:val="20"/>
          <w:szCs w:val="20"/>
        </w:rPr>
        <w:fldChar w:fldCharType="begin"/>
      </w:r>
      <w:r w:rsidR="00500A99">
        <w:rPr>
          <w:bCs/>
          <w:sz w:val="20"/>
          <w:szCs w:val="20"/>
        </w:rPr>
        <w:instrText xml:space="preserve"> REF _Ref188009311 \r \h </w:instrText>
      </w:r>
      <w:r w:rsidR="00500A99">
        <w:rPr>
          <w:bCs/>
          <w:sz w:val="20"/>
          <w:szCs w:val="20"/>
        </w:rPr>
      </w:r>
      <w:r w:rsidR="00500A99">
        <w:rPr>
          <w:bCs/>
          <w:sz w:val="20"/>
          <w:szCs w:val="20"/>
        </w:rPr>
        <w:fldChar w:fldCharType="separate"/>
      </w:r>
      <w:r w:rsidR="007B6AB8">
        <w:rPr>
          <w:bCs/>
          <w:sz w:val="20"/>
          <w:szCs w:val="20"/>
        </w:rPr>
        <w:t>4.1</w:t>
      </w:r>
      <w:r w:rsidR="00500A99">
        <w:rPr>
          <w:bCs/>
          <w:sz w:val="20"/>
          <w:szCs w:val="20"/>
        </w:rPr>
        <w:fldChar w:fldCharType="end"/>
      </w:r>
      <w:r w:rsidR="007D5AA8">
        <w:rPr>
          <w:bCs/>
          <w:sz w:val="20"/>
          <w:szCs w:val="20"/>
        </w:rPr>
        <w:t xml:space="preserve"> </w:t>
      </w:r>
      <w:r w:rsidR="00500A99" w:rsidRPr="00500A99">
        <w:rPr>
          <w:bCs/>
          <w:sz w:val="20"/>
          <w:szCs w:val="20"/>
        </w:rPr>
        <w:t xml:space="preserve">wurde geändert und ein neues Kapitel </w:t>
      </w:r>
      <w:r w:rsidR="00500A99">
        <w:rPr>
          <w:bCs/>
          <w:sz w:val="20"/>
          <w:szCs w:val="20"/>
        </w:rPr>
        <w:fldChar w:fldCharType="begin"/>
      </w:r>
      <w:r w:rsidR="00500A99">
        <w:rPr>
          <w:bCs/>
          <w:sz w:val="20"/>
          <w:szCs w:val="20"/>
        </w:rPr>
        <w:instrText xml:space="preserve"> REF _Ref188009327 \r \h </w:instrText>
      </w:r>
      <w:r w:rsidR="00500A99">
        <w:rPr>
          <w:bCs/>
          <w:sz w:val="20"/>
          <w:szCs w:val="20"/>
        </w:rPr>
      </w:r>
      <w:r w:rsidR="00500A99">
        <w:rPr>
          <w:bCs/>
          <w:sz w:val="20"/>
          <w:szCs w:val="20"/>
        </w:rPr>
        <w:fldChar w:fldCharType="separate"/>
      </w:r>
      <w:r w:rsidR="007B6AB8">
        <w:rPr>
          <w:bCs/>
          <w:sz w:val="20"/>
          <w:szCs w:val="20"/>
        </w:rPr>
        <w:t>4.1.3</w:t>
      </w:r>
      <w:r w:rsidR="00500A99">
        <w:rPr>
          <w:bCs/>
          <w:sz w:val="20"/>
          <w:szCs w:val="20"/>
        </w:rPr>
        <w:fldChar w:fldCharType="end"/>
      </w:r>
      <w:r w:rsidR="00500A99">
        <w:rPr>
          <w:bCs/>
          <w:sz w:val="20"/>
          <w:szCs w:val="20"/>
        </w:rPr>
        <w:t xml:space="preserve"> </w:t>
      </w:r>
      <w:r w:rsidR="00500A99" w:rsidRPr="00500A99">
        <w:rPr>
          <w:bCs/>
          <w:sz w:val="20"/>
          <w:szCs w:val="20"/>
        </w:rPr>
        <w:t>hinzugefügt, in dem das Thema des erwarteten Versicherungsergebnisses behandelt wird.</w:t>
      </w:r>
    </w:p>
    <w:p w14:paraId="7B5D389D" w14:textId="77777777" w:rsidR="0069276C" w:rsidRPr="0069276C" w:rsidRDefault="0069276C" w:rsidP="00575B75"/>
    <w:p w14:paraId="3CE40036" w14:textId="77777777" w:rsidR="006236B4" w:rsidRPr="005D15B2" w:rsidRDefault="006236B4" w:rsidP="006236B4">
      <w:pPr>
        <w:pStyle w:val="Heading1"/>
      </w:pPr>
      <w:r w:rsidRPr="005D15B2">
        <w:t>Zusammenfassung</w:t>
      </w:r>
    </w:p>
    <w:p w14:paraId="11E8EDDD" w14:textId="77777777" w:rsidR="006236B4" w:rsidRPr="005D15B2" w:rsidRDefault="006236B4" w:rsidP="006236B4">
      <w:pPr>
        <w:pStyle w:val="Heading2"/>
      </w:pPr>
      <w:r w:rsidRPr="005D15B2">
        <w:t>Wichtigste Ergebnisse</w:t>
      </w:r>
    </w:p>
    <w:p w14:paraId="2FF9ED62" w14:textId="65916554" w:rsidR="006236B4" w:rsidRPr="005D15B2" w:rsidRDefault="006236B4" w:rsidP="006236B4">
      <w:pPr>
        <w:widowControl w:val="0"/>
        <w:numPr>
          <w:ilvl w:val="0"/>
          <w:numId w:val="6"/>
        </w:numPr>
        <w:rPr>
          <w:sz w:val="20"/>
          <w:szCs w:val="20"/>
        </w:rPr>
      </w:pPr>
      <w:r w:rsidRPr="005D15B2">
        <w:rPr>
          <w:sz w:val="20"/>
          <w:szCs w:val="20"/>
        </w:rPr>
        <w:t xml:space="preserve">Wichtigste Ergebnisse (zumindest Vorhandene Reserven nach KVG, Mindesthöhe der Reserven nach KVG, </w:t>
      </w:r>
      <w:r w:rsidR="0025525B">
        <w:rPr>
          <w:sz w:val="20"/>
          <w:szCs w:val="20"/>
        </w:rPr>
        <w:t>Solvenzquote</w:t>
      </w:r>
      <w:r w:rsidRPr="005D15B2">
        <w:rPr>
          <w:sz w:val="20"/>
          <w:szCs w:val="20"/>
        </w:rPr>
        <w:t xml:space="preserve">). </w:t>
      </w:r>
    </w:p>
    <w:p w14:paraId="2214A7FD" w14:textId="15E934D7" w:rsidR="006236B4" w:rsidRPr="005D15B2" w:rsidRDefault="006A5185" w:rsidP="006236B4">
      <w:pPr>
        <w:widowControl w:val="0"/>
        <w:numPr>
          <w:ilvl w:val="0"/>
          <w:numId w:val="6"/>
        </w:numPr>
        <w:rPr>
          <w:sz w:val="20"/>
          <w:szCs w:val="20"/>
        </w:rPr>
      </w:pPr>
      <w:r>
        <w:rPr>
          <w:sz w:val="20"/>
          <w:szCs w:val="20"/>
        </w:rPr>
        <w:t>Wichtigsten V</w:t>
      </w:r>
      <w:r w:rsidR="006236B4" w:rsidRPr="005D15B2">
        <w:rPr>
          <w:sz w:val="20"/>
          <w:szCs w:val="20"/>
        </w:rPr>
        <w:t>eränderungen gegenüber dem Vorjahr und deren Gründe.</w:t>
      </w:r>
    </w:p>
    <w:p w14:paraId="0D7D5128" w14:textId="77777777" w:rsidR="006236B4" w:rsidRPr="005D15B2" w:rsidRDefault="006236B4" w:rsidP="006236B4">
      <w:pPr>
        <w:widowControl w:val="0"/>
        <w:numPr>
          <w:ilvl w:val="0"/>
          <w:numId w:val="6"/>
        </w:numPr>
        <w:rPr>
          <w:sz w:val="20"/>
          <w:szCs w:val="20"/>
        </w:rPr>
      </w:pPr>
      <w:r w:rsidRPr="005D15B2">
        <w:rPr>
          <w:sz w:val="20"/>
          <w:szCs w:val="20"/>
        </w:rPr>
        <w:t xml:space="preserve">Interpretationen zu den eingegangenen Risiken und zur Risikofähigkeit des Unternehmens (Bestätigungen und Überraschungen aus Sicht des Versicherers). </w:t>
      </w:r>
    </w:p>
    <w:p w14:paraId="1B9F2082" w14:textId="77777777" w:rsidR="006236B4" w:rsidRPr="005D15B2" w:rsidRDefault="006236B4" w:rsidP="006236B4">
      <w:pPr>
        <w:widowControl w:val="0"/>
        <w:numPr>
          <w:ilvl w:val="0"/>
          <w:numId w:val="6"/>
        </w:numPr>
        <w:rPr>
          <w:sz w:val="20"/>
          <w:szCs w:val="20"/>
        </w:rPr>
      </w:pPr>
      <w:r w:rsidRPr="005D15B2">
        <w:rPr>
          <w:sz w:val="20"/>
          <w:szCs w:val="20"/>
        </w:rPr>
        <w:t>Weitere Bemerkungen.</w:t>
      </w:r>
    </w:p>
    <w:p w14:paraId="42AEDED0" w14:textId="77777777" w:rsidR="006236B4" w:rsidRPr="005D15B2" w:rsidRDefault="006236B4" w:rsidP="006236B4">
      <w:pPr>
        <w:pStyle w:val="Heading2"/>
      </w:pPr>
      <w:r w:rsidRPr="005D15B2">
        <w:t>Massnahmen</w:t>
      </w:r>
    </w:p>
    <w:p w14:paraId="49A6A542" w14:textId="77777777" w:rsidR="006236B4" w:rsidRPr="005D15B2" w:rsidRDefault="006236B4" w:rsidP="006236B4">
      <w:pPr>
        <w:widowControl w:val="0"/>
        <w:numPr>
          <w:ilvl w:val="0"/>
          <w:numId w:val="7"/>
        </w:numPr>
        <w:rPr>
          <w:sz w:val="20"/>
          <w:szCs w:val="20"/>
        </w:rPr>
      </w:pPr>
      <w:r w:rsidRPr="005D15B2">
        <w:rPr>
          <w:sz w:val="20"/>
          <w:szCs w:val="20"/>
        </w:rPr>
        <w:t xml:space="preserve">Bei Nichterfüllung des KVG-Solvenztests: Massnahmen zum Aufbau der notwendigen Reserven. </w:t>
      </w:r>
    </w:p>
    <w:p w14:paraId="191EAAB2" w14:textId="77777777" w:rsidR="006236B4" w:rsidRPr="005D15B2" w:rsidRDefault="006236B4" w:rsidP="006236B4">
      <w:pPr>
        <w:widowControl w:val="0"/>
        <w:numPr>
          <w:ilvl w:val="0"/>
          <w:numId w:val="7"/>
        </w:numPr>
        <w:rPr>
          <w:sz w:val="20"/>
          <w:szCs w:val="20"/>
        </w:rPr>
      </w:pPr>
      <w:r w:rsidRPr="005D15B2">
        <w:rPr>
          <w:sz w:val="20"/>
          <w:szCs w:val="20"/>
        </w:rPr>
        <w:t>Weitere Bemerkungen.</w:t>
      </w:r>
    </w:p>
    <w:p w14:paraId="488740B6" w14:textId="77777777" w:rsidR="006236B4" w:rsidRPr="005D15B2" w:rsidRDefault="006236B4" w:rsidP="006236B4">
      <w:pPr>
        <w:pStyle w:val="Heading2"/>
      </w:pPr>
      <w:r w:rsidRPr="005D15B2">
        <w:lastRenderedPageBreak/>
        <w:t>Versicherungsportfolio</w:t>
      </w:r>
    </w:p>
    <w:p w14:paraId="07CA5BFD" w14:textId="4EFD0F34" w:rsidR="006236B4" w:rsidRPr="005D15B2" w:rsidRDefault="006236B4" w:rsidP="006236B4">
      <w:pPr>
        <w:rPr>
          <w:sz w:val="20"/>
          <w:szCs w:val="20"/>
        </w:rPr>
      </w:pPr>
      <w:r w:rsidRPr="005D15B2">
        <w:rPr>
          <w:sz w:val="20"/>
          <w:szCs w:val="20"/>
        </w:rPr>
        <w:t>Kurzbeschreibung des Versicherungsportfolios des gesamten Unternehmens (juristische Einheit). Geschäftsfelder innerhalb und evtl. auch ausserhalb des KVG-</w:t>
      </w:r>
      <w:r w:rsidR="00402ECA">
        <w:rPr>
          <w:sz w:val="20"/>
          <w:szCs w:val="20"/>
        </w:rPr>
        <w:t xml:space="preserve"> </w:t>
      </w:r>
      <w:r w:rsidRPr="005D15B2">
        <w:rPr>
          <w:sz w:val="20"/>
          <w:szCs w:val="20"/>
        </w:rPr>
        <w:t xml:space="preserve">und UVG-Geschäfts, Volumen. Beschreibung der Risikostruktur. Aktive Rückversicherung. Passive Rückversicherung. </w:t>
      </w:r>
      <w:r w:rsidR="001A6022" w:rsidRPr="001A6022">
        <w:rPr>
          <w:sz w:val="20"/>
          <w:szCs w:val="20"/>
        </w:rPr>
        <w:t>Wenn die Versicherung in Liechtenstein angeboten wird, müssen Informationen bereitgestellt werden.</w:t>
      </w:r>
    </w:p>
    <w:p w14:paraId="7937B287" w14:textId="77777777" w:rsidR="00237CC2" w:rsidRPr="005D15B2" w:rsidRDefault="00237CC2" w:rsidP="006236B4">
      <w:pPr>
        <w:rPr>
          <w:sz w:val="20"/>
          <w:szCs w:val="20"/>
        </w:rPr>
      </w:pPr>
    </w:p>
    <w:p w14:paraId="0CACDC51" w14:textId="4E6945F1" w:rsidR="00E36081" w:rsidRPr="00402ECA" w:rsidRDefault="00237CC2" w:rsidP="00237CC2">
      <w:pPr>
        <w:widowControl w:val="0"/>
        <w:rPr>
          <w:sz w:val="20"/>
          <w:szCs w:val="20"/>
        </w:rPr>
      </w:pPr>
      <w:r w:rsidRPr="005D15B2">
        <w:rPr>
          <w:sz w:val="20"/>
          <w:szCs w:val="20"/>
        </w:rPr>
        <w:t xml:space="preserve">Falls die Krankenzusatzversicherung auf eigenes Risiko vertrieben wird (demzufolge von der FINMA </w:t>
      </w:r>
      <w:r w:rsidRPr="00402ECA">
        <w:rPr>
          <w:sz w:val="20"/>
          <w:szCs w:val="20"/>
        </w:rPr>
        <w:t>beaufsichtigte Versicherer, betrifft nicht Versicherer, welche die Krankenzusatzversicherung nur vermitteln): Festhalten, wenn es finanzielle oder sonstige Schwierigkeiten im Bereich VVG gibt (z.B. bezüglich Alterungsrückstellungen)</w:t>
      </w:r>
      <w:r w:rsidR="00847BEC" w:rsidRPr="00402ECA">
        <w:rPr>
          <w:sz w:val="20"/>
          <w:szCs w:val="20"/>
        </w:rPr>
        <w:t>.</w:t>
      </w:r>
      <w:r w:rsidR="00FA19C7" w:rsidRPr="00402ECA">
        <w:rPr>
          <w:sz w:val="20"/>
          <w:szCs w:val="20"/>
        </w:rPr>
        <w:t xml:space="preserve"> </w:t>
      </w:r>
    </w:p>
    <w:p w14:paraId="7C3AE8A3" w14:textId="77777777" w:rsidR="006236B4" w:rsidRPr="00402ECA" w:rsidRDefault="006236B4" w:rsidP="006236B4">
      <w:pPr>
        <w:pStyle w:val="Heading2"/>
      </w:pPr>
      <w:r w:rsidRPr="00402ECA">
        <w:t>Anlagenportfolio</w:t>
      </w:r>
    </w:p>
    <w:p w14:paraId="119742AC" w14:textId="47400D5E" w:rsidR="00E36081" w:rsidRPr="004542E3" w:rsidRDefault="006236B4" w:rsidP="004542E3">
      <w:r w:rsidRPr="00402ECA">
        <w:rPr>
          <w:sz w:val="20"/>
          <w:szCs w:val="20"/>
        </w:rPr>
        <w:t>Kurzbeschreibung des Anlagenportfolios des gesamten Unternehmens (juristische Einheit). Schwerpunkte, Strategie, Volumen, Risiken.</w:t>
      </w:r>
      <w:r w:rsidR="00401014">
        <w:rPr>
          <w:sz w:val="20"/>
          <w:szCs w:val="20"/>
        </w:rPr>
        <w:t xml:space="preserve"> </w:t>
      </w:r>
      <w:r w:rsidR="003F7317" w:rsidRPr="00E36081">
        <w:rPr>
          <w:sz w:val="20"/>
          <w:szCs w:val="20"/>
        </w:rPr>
        <w:t xml:space="preserve">Bei hohen Verlusten im </w:t>
      </w:r>
      <w:r w:rsidR="005E58BA">
        <w:rPr>
          <w:sz w:val="20"/>
          <w:szCs w:val="20"/>
        </w:rPr>
        <w:t>Vorj</w:t>
      </w:r>
      <w:r w:rsidR="003F7317" w:rsidRPr="00E36081">
        <w:rPr>
          <w:sz w:val="20"/>
          <w:szCs w:val="20"/>
        </w:rPr>
        <w:t>ahr, Erklärungen der Verluste nach Anlageklassen</w:t>
      </w:r>
      <w:r w:rsidR="00BB5D26" w:rsidRPr="00E36081">
        <w:rPr>
          <w:sz w:val="20"/>
          <w:szCs w:val="20"/>
        </w:rPr>
        <w:t xml:space="preserve"> und Auswirkungen auf das</w:t>
      </w:r>
      <w:r w:rsidR="005E58BA">
        <w:rPr>
          <w:sz w:val="20"/>
          <w:szCs w:val="20"/>
        </w:rPr>
        <w:t xml:space="preserve"> aktuelle </w:t>
      </w:r>
      <w:r w:rsidR="00BB5D26" w:rsidRPr="00E36081">
        <w:rPr>
          <w:sz w:val="20"/>
          <w:szCs w:val="20"/>
        </w:rPr>
        <w:t>Portfolio</w:t>
      </w:r>
      <w:r w:rsidR="003F7317" w:rsidRPr="00E36081">
        <w:rPr>
          <w:sz w:val="20"/>
          <w:szCs w:val="20"/>
        </w:rPr>
        <w:t>.</w:t>
      </w:r>
    </w:p>
    <w:p w14:paraId="2288DCEF" w14:textId="77777777" w:rsidR="006236B4" w:rsidRPr="00402ECA" w:rsidRDefault="006236B4">
      <w:pPr>
        <w:pStyle w:val="Heading1"/>
      </w:pPr>
      <w:r w:rsidRPr="00402ECA">
        <w:t>Verwendete Grundlagen</w:t>
      </w:r>
    </w:p>
    <w:p w14:paraId="77906ECC" w14:textId="77777777" w:rsidR="006236B4" w:rsidRPr="005D15B2" w:rsidRDefault="006236B4" w:rsidP="006236B4">
      <w:pPr>
        <w:rPr>
          <w:sz w:val="20"/>
          <w:szCs w:val="20"/>
        </w:rPr>
      </w:pPr>
      <w:r w:rsidRPr="005D15B2">
        <w:rPr>
          <w:sz w:val="20"/>
          <w:szCs w:val="20"/>
        </w:rPr>
        <w:t xml:space="preserve">Beschreibung der wichtigsten verwendeten Methoden (Datenquellen, Definitionen, Annahmen, Bewertungen, etc.) mit Blick sowohl auf die Versicherungs- als auch auf die Marktrisiken. Änderungen zum Vorjahres-ST erwähnen. </w:t>
      </w:r>
    </w:p>
    <w:p w14:paraId="7AF78E3A" w14:textId="77777777" w:rsidR="006236B4" w:rsidRPr="005D15B2" w:rsidRDefault="006236B4" w:rsidP="006236B4">
      <w:pPr>
        <w:pStyle w:val="Heading1"/>
      </w:pPr>
      <w:r w:rsidRPr="005D15B2">
        <w:t>Vorhandene Reserven</w:t>
      </w:r>
    </w:p>
    <w:p w14:paraId="06184CAC" w14:textId="43DEADC0" w:rsidR="006236B4" w:rsidRPr="005D15B2" w:rsidRDefault="006236B4" w:rsidP="006236B4">
      <w:pPr>
        <w:rPr>
          <w:sz w:val="20"/>
          <w:szCs w:val="20"/>
        </w:rPr>
      </w:pPr>
      <w:r w:rsidRPr="005D15B2">
        <w:rPr>
          <w:sz w:val="20"/>
          <w:szCs w:val="20"/>
        </w:rPr>
        <w:t xml:space="preserve">Höhe und Bemerkungen zu den Vorhandenen Reserven. Zusammensetzung der Vorhandenen Reserven. Verhältnis von statutarischen Reserven (Eigenkapital) zu Bewertungsreserven. Vergleich mit dem </w:t>
      </w:r>
      <w:r w:rsidR="00EF3C0E">
        <w:rPr>
          <w:sz w:val="20"/>
          <w:szCs w:val="20"/>
        </w:rPr>
        <w:t>Eigenkapital</w:t>
      </w:r>
      <w:r w:rsidRPr="005D15B2">
        <w:rPr>
          <w:sz w:val="20"/>
          <w:szCs w:val="20"/>
        </w:rPr>
        <w:t xml:space="preserve">, falls das </w:t>
      </w:r>
      <w:r w:rsidR="00EF3C0E">
        <w:rPr>
          <w:sz w:val="20"/>
          <w:szCs w:val="20"/>
        </w:rPr>
        <w:t>Eigenkapital</w:t>
      </w:r>
      <w:r w:rsidR="00EF3C0E" w:rsidRPr="005D15B2">
        <w:rPr>
          <w:sz w:val="20"/>
          <w:szCs w:val="20"/>
        </w:rPr>
        <w:t xml:space="preserve"> </w:t>
      </w:r>
      <w:r w:rsidRPr="005D15B2">
        <w:rPr>
          <w:sz w:val="20"/>
          <w:szCs w:val="20"/>
        </w:rPr>
        <w:t>von den Vorhandenen Reserven abweichen sollte.</w:t>
      </w:r>
    </w:p>
    <w:p w14:paraId="6D4210DD" w14:textId="77777777" w:rsidR="006236B4" w:rsidRPr="005D15B2" w:rsidRDefault="006236B4" w:rsidP="006236B4">
      <w:pPr>
        <w:pStyle w:val="Heading2"/>
      </w:pPr>
      <w:r w:rsidRPr="005D15B2">
        <w:t>Überführung der statutarischen in die marktnahe Bilanz</w:t>
      </w:r>
    </w:p>
    <w:p w14:paraId="1A8DD8D6" w14:textId="77777777" w:rsidR="006236B4" w:rsidRPr="005D15B2" w:rsidRDefault="006236B4" w:rsidP="006236B4">
      <w:pPr>
        <w:rPr>
          <w:sz w:val="20"/>
          <w:szCs w:val="20"/>
        </w:rPr>
      </w:pPr>
      <w:r w:rsidRPr="005D15B2">
        <w:rPr>
          <w:sz w:val="20"/>
          <w:szCs w:val="20"/>
        </w:rPr>
        <w:t>Übersicht der Differenzen. Begründung.</w:t>
      </w:r>
    </w:p>
    <w:p w14:paraId="4EC4489B" w14:textId="77777777" w:rsidR="006236B4" w:rsidRPr="005D15B2" w:rsidRDefault="006236B4" w:rsidP="006236B4">
      <w:pPr>
        <w:pStyle w:val="Heading2"/>
      </w:pPr>
      <w:r w:rsidRPr="005D15B2">
        <w:t>Auswirkungen zum Jahreswechsel</w:t>
      </w:r>
    </w:p>
    <w:p w14:paraId="5B224B5B" w14:textId="77777777" w:rsidR="006236B4" w:rsidRPr="005D15B2" w:rsidRDefault="006236B4" w:rsidP="006236B4">
      <w:pPr>
        <w:rPr>
          <w:sz w:val="20"/>
          <w:szCs w:val="20"/>
        </w:rPr>
      </w:pPr>
      <w:r w:rsidRPr="005D15B2">
        <w:rPr>
          <w:sz w:val="20"/>
          <w:szCs w:val="20"/>
        </w:rPr>
        <w:t>Übersicht der Differenzen (marktnahe Bilanzen per 1.1 des Geschäftsjahrs vs. per 31.12 des Vorjahrs). Begründung.</w:t>
      </w:r>
    </w:p>
    <w:p w14:paraId="4DB1D539" w14:textId="77777777" w:rsidR="006236B4" w:rsidRPr="005D15B2" w:rsidRDefault="006236B4" w:rsidP="006236B4">
      <w:pPr>
        <w:pStyle w:val="Heading2"/>
      </w:pPr>
      <w:r w:rsidRPr="005D15B2">
        <w:t>Marktnaher Wert der Aktiven</w:t>
      </w:r>
    </w:p>
    <w:p w14:paraId="3A4DCC84" w14:textId="77777777" w:rsidR="006236B4" w:rsidRPr="005D15B2" w:rsidRDefault="006236B4" w:rsidP="006236B4">
      <w:pPr>
        <w:rPr>
          <w:sz w:val="20"/>
          <w:szCs w:val="20"/>
        </w:rPr>
      </w:pPr>
      <w:r w:rsidRPr="005D15B2">
        <w:rPr>
          <w:sz w:val="20"/>
          <w:szCs w:val="20"/>
        </w:rPr>
        <w:t>Übersicht der Aktiven (Höhe, Struktur).</w:t>
      </w:r>
    </w:p>
    <w:p w14:paraId="55ABB181" w14:textId="77777777" w:rsidR="006236B4" w:rsidRPr="005D15B2" w:rsidRDefault="006236B4" w:rsidP="006236B4">
      <w:pPr>
        <w:pStyle w:val="Heading3"/>
        <w:ind w:left="720"/>
      </w:pPr>
      <w:r w:rsidRPr="005D15B2">
        <w:t>Verwendete Methoden</w:t>
      </w:r>
    </w:p>
    <w:p w14:paraId="36C57BA1" w14:textId="77777777" w:rsidR="006236B4" w:rsidRPr="005D15B2" w:rsidRDefault="006236B4" w:rsidP="006236B4">
      <w:pPr>
        <w:widowControl w:val="0"/>
        <w:numPr>
          <w:ilvl w:val="0"/>
          <w:numId w:val="2"/>
        </w:numPr>
        <w:rPr>
          <w:sz w:val="20"/>
          <w:szCs w:val="20"/>
        </w:rPr>
      </w:pPr>
      <w:r w:rsidRPr="005D15B2">
        <w:rPr>
          <w:sz w:val="20"/>
          <w:szCs w:val="20"/>
        </w:rPr>
        <w:t>Marktwerte: Vermögenswerte, für die Marktwerte verwendet wurden.</w:t>
      </w:r>
    </w:p>
    <w:p w14:paraId="51249A31" w14:textId="77777777" w:rsidR="006236B4" w:rsidRPr="005D15B2" w:rsidRDefault="006236B4" w:rsidP="006236B4">
      <w:pPr>
        <w:widowControl w:val="0"/>
        <w:numPr>
          <w:ilvl w:val="0"/>
          <w:numId w:val="2"/>
        </w:numPr>
        <w:rPr>
          <w:sz w:val="20"/>
          <w:szCs w:val="20"/>
        </w:rPr>
      </w:pPr>
      <w:proofErr w:type="spellStart"/>
      <w:r w:rsidRPr="005D15B2">
        <w:rPr>
          <w:sz w:val="20"/>
          <w:szCs w:val="20"/>
        </w:rPr>
        <w:t>Marking</w:t>
      </w:r>
      <w:proofErr w:type="spellEnd"/>
      <w:r w:rsidRPr="005D15B2">
        <w:rPr>
          <w:sz w:val="20"/>
          <w:szCs w:val="20"/>
        </w:rPr>
        <w:t>-</w:t>
      </w:r>
      <w:proofErr w:type="spellStart"/>
      <w:r w:rsidRPr="005D15B2">
        <w:rPr>
          <w:sz w:val="20"/>
          <w:szCs w:val="20"/>
        </w:rPr>
        <w:t>to</w:t>
      </w:r>
      <w:proofErr w:type="spellEnd"/>
      <w:r w:rsidRPr="005D15B2">
        <w:rPr>
          <w:sz w:val="20"/>
          <w:szCs w:val="20"/>
        </w:rPr>
        <w:t>-Model: Vermögenswerte, für die keine Marktwerte existierten und Modelle verwendet werden mussten. Erläuterungen zu den benutzten Modellen und Parametern.</w:t>
      </w:r>
    </w:p>
    <w:p w14:paraId="043C2751" w14:textId="77777777" w:rsidR="006236B4" w:rsidRPr="005D15B2" w:rsidRDefault="006236B4" w:rsidP="006236B4">
      <w:pPr>
        <w:widowControl w:val="0"/>
        <w:numPr>
          <w:ilvl w:val="0"/>
          <w:numId w:val="2"/>
        </w:numPr>
        <w:rPr>
          <w:sz w:val="20"/>
          <w:szCs w:val="20"/>
        </w:rPr>
      </w:pPr>
      <w:r w:rsidRPr="005D15B2">
        <w:rPr>
          <w:sz w:val="20"/>
          <w:szCs w:val="20"/>
        </w:rPr>
        <w:lastRenderedPageBreak/>
        <w:t>Mix von Methoden.</w:t>
      </w:r>
    </w:p>
    <w:p w14:paraId="12BCF5EB" w14:textId="77777777" w:rsidR="006236B4" w:rsidRPr="005D15B2" w:rsidRDefault="006236B4" w:rsidP="006236B4">
      <w:pPr>
        <w:widowControl w:val="0"/>
        <w:numPr>
          <w:ilvl w:val="0"/>
          <w:numId w:val="2"/>
        </w:numPr>
        <w:rPr>
          <w:sz w:val="20"/>
          <w:szCs w:val="20"/>
        </w:rPr>
      </w:pPr>
      <w:r w:rsidRPr="005D15B2">
        <w:rPr>
          <w:sz w:val="20"/>
          <w:szCs w:val="20"/>
        </w:rPr>
        <w:t>evtl. Abweichungen von der marktnahen Bewertung.</w:t>
      </w:r>
    </w:p>
    <w:p w14:paraId="7632E147" w14:textId="77777777" w:rsidR="006236B4" w:rsidRPr="005D15B2" w:rsidRDefault="006236B4" w:rsidP="006236B4"/>
    <w:p w14:paraId="18F967BE" w14:textId="77777777" w:rsidR="006236B4" w:rsidRPr="005D15B2" w:rsidRDefault="006236B4" w:rsidP="006236B4">
      <w:pPr>
        <w:rPr>
          <w:sz w:val="20"/>
          <w:szCs w:val="20"/>
        </w:rPr>
      </w:pPr>
      <w:r w:rsidRPr="005D15B2">
        <w:rPr>
          <w:sz w:val="20"/>
          <w:szCs w:val="20"/>
        </w:rPr>
        <w:t>Für Versicherer, die in der juristischen Einheit nicht allein das KVG-Geschäft führen: Abgrenzung der dem KVG-Geschäft zugeordneten Aktiven von den dem übrigen Geschäft zugeordneten Aktiven.</w:t>
      </w:r>
    </w:p>
    <w:p w14:paraId="330D9CBF" w14:textId="77777777" w:rsidR="006236B4" w:rsidRPr="005D15B2" w:rsidRDefault="006236B4" w:rsidP="006236B4">
      <w:pPr>
        <w:rPr>
          <w:sz w:val="20"/>
          <w:szCs w:val="20"/>
        </w:rPr>
      </w:pPr>
    </w:p>
    <w:p w14:paraId="2C43121F" w14:textId="77777777" w:rsidR="006236B4" w:rsidRPr="005D15B2" w:rsidRDefault="006236B4" w:rsidP="006236B4">
      <w:pPr>
        <w:rPr>
          <w:sz w:val="20"/>
          <w:szCs w:val="20"/>
        </w:rPr>
      </w:pPr>
      <w:r w:rsidRPr="005D15B2">
        <w:rPr>
          <w:sz w:val="20"/>
          <w:szCs w:val="20"/>
        </w:rPr>
        <w:t>Datenqualität; Beschreibung, wo eigene und wo externe Daten und Bewertungen verwendet wurden.</w:t>
      </w:r>
    </w:p>
    <w:p w14:paraId="241AF4B9" w14:textId="77777777" w:rsidR="006236B4" w:rsidRPr="005D15B2" w:rsidRDefault="006236B4" w:rsidP="006236B4">
      <w:pPr>
        <w:pStyle w:val="Heading3"/>
        <w:ind w:left="720"/>
      </w:pPr>
      <w:r w:rsidRPr="005D15B2">
        <w:t>Spezielle Vermögenswerte</w:t>
      </w:r>
    </w:p>
    <w:p w14:paraId="392B1F4B" w14:textId="77777777" w:rsidR="006236B4" w:rsidRPr="005D15B2" w:rsidRDefault="006236B4" w:rsidP="006236B4">
      <w:pPr>
        <w:rPr>
          <w:sz w:val="20"/>
          <w:szCs w:val="20"/>
        </w:rPr>
      </w:pPr>
      <w:r w:rsidRPr="005D15B2">
        <w:rPr>
          <w:sz w:val="20"/>
          <w:szCs w:val="20"/>
        </w:rPr>
        <w:t>Bemerkungen z.B. zu Fremdwährungen, Beteiligungen, etc.</w:t>
      </w:r>
    </w:p>
    <w:p w14:paraId="465C6207" w14:textId="77777777" w:rsidR="006236B4" w:rsidRPr="005D15B2" w:rsidRDefault="006236B4" w:rsidP="006236B4">
      <w:pPr>
        <w:pStyle w:val="Heading3"/>
        <w:ind w:left="720"/>
      </w:pPr>
      <w:r w:rsidRPr="005D15B2">
        <w:t>Relevante Konzentrationen in den Aktiven</w:t>
      </w:r>
    </w:p>
    <w:p w14:paraId="612981F4" w14:textId="77777777" w:rsidR="006236B4" w:rsidRPr="005D15B2" w:rsidRDefault="006236B4" w:rsidP="006236B4">
      <w:pPr>
        <w:rPr>
          <w:sz w:val="20"/>
          <w:szCs w:val="20"/>
        </w:rPr>
      </w:pPr>
      <w:r w:rsidRPr="005D15B2">
        <w:rPr>
          <w:noProof/>
          <w:sz w:val="20"/>
          <w:szCs w:val="20"/>
        </w:rPr>
        <w:t>Geographisch, sektoriell, Anlagetyp, Schuldner, Titel,</w:t>
      </w:r>
      <w:r w:rsidRPr="005D15B2">
        <w:rPr>
          <w:sz w:val="20"/>
          <w:szCs w:val="20"/>
        </w:rPr>
        <w:t xml:space="preserve"> etc.</w:t>
      </w:r>
    </w:p>
    <w:p w14:paraId="106B5E90" w14:textId="77777777" w:rsidR="006236B4" w:rsidRPr="005D15B2" w:rsidRDefault="006236B4" w:rsidP="006236B4">
      <w:pPr>
        <w:pStyle w:val="Heading2"/>
      </w:pPr>
      <w:r w:rsidRPr="005D15B2">
        <w:t>Best Estimate der Verpflichtungen</w:t>
      </w:r>
    </w:p>
    <w:p w14:paraId="02176387" w14:textId="77777777" w:rsidR="006236B4" w:rsidRPr="005D15B2" w:rsidRDefault="006236B4" w:rsidP="006236B4">
      <w:pPr>
        <w:rPr>
          <w:sz w:val="20"/>
          <w:szCs w:val="20"/>
        </w:rPr>
      </w:pPr>
      <w:r w:rsidRPr="005D15B2">
        <w:rPr>
          <w:sz w:val="20"/>
          <w:szCs w:val="20"/>
        </w:rPr>
        <w:t>Übersicht der Verpflichtungen (Höhe, Struktur).</w:t>
      </w:r>
    </w:p>
    <w:p w14:paraId="2A7CB09B" w14:textId="301B939A" w:rsidR="00423703" w:rsidRPr="004542E3" w:rsidRDefault="006236B4" w:rsidP="004542E3">
      <w:pPr>
        <w:pStyle w:val="Heading3"/>
        <w:ind w:left="709" w:hanging="709"/>
        <w:rPr>
          <w:sz w:val="20"/>
        </w:rPr>
      </w:pPr>
      <w:r w:rsidRPr="005D15B2">
        <w:t>Verwendete Methoden</w:t>
      </w:r>
    </w:p>
    <w:p w14:paraId="34377F76" w14:textId="2CFA4FD7" w:rsidR="00423703" w:rsidRPr="005D15B2" w:rsidRDefault="006236B4" w:rsidP="004542E3">
      <w:pPr>
        <w:widowControl w:val="0"/>
        <w:rPr>
          <w:sz w:val="20"/>
          <w:szCs w:val="20"/>
        </w:rPr>
      </w:pPr>
      <w:r w:rsidRPr="005D15B2">
        <w:rPr>
          <w:sz w:val="20"/>
          <w:szCs w:val="20"/>
        </w:rPr>
        <w:t>Erläuterung zu den benutzten Methoden für die Berechnung der Höhe der Verpflichtungen, Annahmen, Parameter, etc.</w:t>
      </w:r>
    </w:p>
    <w:p w14:paraId="4DC8490E" w14:textId="77777777" w:rsidR="00236130" w:rsidRPr="005D15B2" w:rsidRDefault="00236130" w:rsidP="004542E3">
      <w:pPr>
        <w:widowControl w:val="0"/>
        <w:rPr>
          <w:sz w:val="20"/>
          <w:szCs w:val="20"/>
        </w:rPr>
      </w:pPr>
    </w:p>
    <w:p w14:paraId="17A76D70" w14:textId="77777777" w:rsidR="006236B4" w:rsidRPr="005D15B2" w:rsidRDefault="006236B4" w:rsidP="006236B4">
      <w:pPr>
        <w:rPr>
          <w:sz w:val="20"/>
          <w:szCs w:val="20"/>
        </w:rPr>
      </w:pPr>
      <w:r w:rsidRPr="005D15B2">
        <w:rPr>
          <w:sz w:val="20"/>
          <w:szCs w:val="20"/>
        </w:rPr>
        <w:t>Für Versicherer, die in der juristischen Einheit nicht allein das KVG-Geschäft führen: Abgrenzung der dem KVG-Geschäft zugeordneten Verpflichtungen von den dem übrigen Geschäft zugeordneten Verpflichtungen.</w:t>
      </w:r>
    </w:p>
    <w:p w14:paraId="0D1E22E1" w14:textId="77777777" w:rsidR="006236B4" w:rsidRPr="005D15B2" w:rsidRDefault="006236B4" w:rsidP="006236B4">
      <w:pPr>
        <w:rPr>
          <w:sz w:val="20"/>
          <w:szCs w:val="20"/>
        </w:rPr>
      </w:pPr>
    </w:p>
    <w:p w14:paraId="5021A569" w14:textId="11F9402D" w:rsidR="00423703" w:rsidRPr="005D15B2" w:rsidRDefault="006236B4" w:rsidP="00423703">
      <w:pPr>
        <w:widowControl w:val="0"/>
        <w:rPr>
          <w:sz w:val="20"/>
          <w:szCs w:val="20"/>
        </w:rPr>
      </w:pPr>
      <w:r w:rsidRPr="005D15B2">
        <w:rPr>
          <w:sz w:val="20"/>
          <w:szCs w:val="20"/>
        </w:rPr>
        <w:t>Datenqualität; Beschreibung, wo eigene und wo externe Daten verwendet wurden.</w:t>
      </w:r>
      <w:r w:rsidR="00423703" w:rsidRPr="00423703">
        <w:rPr>
          <w:sz w:val="20"/>
          <w:szCs w:val="20"/>
        </w:rPr>
        <w:t xml:space="preserve"> </w:t>
      </w:r>
      <w:r w:rsidR="00423703" w:rsidRPr="005D15B2">
        <w:rPr>
          <w:sz w:val="20"/>
          <w:szCs w:val="20"/>
        </w:rPr>
        <w:t>Würdigung der verwendeten Methodik im Hinblick auf die Verpflichtung zu einer Best-Estimate-Bewertung.</w:t>
      </w:r>
    </w:p>
    <w:p w14:paraId="582CC643" w14:textId="20004B2B" w:rsidR="006236B4" w:rsidRDefault="006236B4" w:rsidP="006236B4">
      <w:pPr>
        <w:rPr>
          <w:sz w:val="20"/>
          <w:szCs w:val="20"/>
        </w:rPr>
      </w:pPr>
    </w:p>
    <w:p w14:paraId="48BEDED7" w14:textId="77777777" w:rsidR="006236B4" w:rsidRPr="005D15B2" w:rsidRDefault="006236B4" w:rsidP="006236B4">
      <w:pPr>
        <w:pStyle w:val="Heading3"/>
        <w:ind w:left="720"/>
      </w:pPr>
      <w:r w:rsidRPr="005D15B2">
        <w:t>Spezielle Verpflichtungen</w:t>
      </w:r>
    </w:p>
    <w:p w14:paraId="5D77CA86" w14:textId="77777777" w:rsidR="006236B4" w:rsidRPr="005D15B2" w:rsidRDefault="006236B4" w:rsidP="006236B4">
      <w:pPr>
        <w:rPr>
          <w:sz w:val="20"/>
          <w:szCs w:val="20"/>
        </w:rPr>
      </w:pPr>
      <w:r w:rsidRPr="005D15B2">
        <w:rPr>
          <w:sz w:val="20"/>
          <w:szCs w:val="20"/>
        </w:rPr>
        <w:t>Bemerkungen z.B. zu Fremdwährungen, Beteiligungen, eingebetteten Optionen, etc.</w:t>
      </w:r>
    </w:p>
    <w:p w14:paraId="57A17083" w14:textId="77777777" w:rsidR="006236B4" w:rsidRPr="005D15B2" w:rsidRDefault="006236B4" w:rsidP="006236B4">
      <w:pPr>
        <w:pStyle w:val="Heading3"/>
        <w:ind w:left="720"/>
      </w:pPr>
      <w:r w:rsidRPr="005D15B2">
        <w:t>Relevante Konzentrationen in den Verpflichtungen</w:t>
      </w:r>
    </w:p>
    <w:p w14:paraId="676638C4" w14:textId="77777777" w:rsidR="006236B4" w:rsidRPr="005D15B2" w:rsidRDefault="006236B4" w:rsidP="006236B4">
      <w:pPr>
        <w:rPr>
          <w:sz w:val="20"/>
          <w:szCs w:val="20"/>
        </w:rPr>
      </w:pPr>
      <w:r w:rsidRPr="005D15B2">
        <w:rPr>
          <w:noProof/>
          <w:sz w:val="20"/>
          <w:szCs w:val="20"/>
        </w:rPr>
        <w:t>Kumulrisiken, gegenseitige Abhängigkeiten,</w:t>
      </w:r>
      <w:r w:rsidRPr="005D15B2">
        <w:rPr>
          <w:sz w:val="20"/>
          <w:szCs w:val="20"/>
        </w:rPr>
        <w:t xml:space="preserve"> etc.</w:t>
      </w:r>
    </w:p>
    <w:p w14:paraId="579C959D" w14:textId="77777777" w:rsidR="006236B4" w:rsidRPr="005D15B2" w:rsidRDefault="006236B4" w:rsidP="006236B4">
      <w:pPr>
        <w:pStyle w:val="Heading2"/>
      </w:pPr>
      <w:r w:rsidRPr="005D15B2">
        <w:t>Risikotransferinstrumente</w:t>
      </w:r>
    </w:p>
    <w:p w14:paraId="2D247CC8" w14:textId="77777777" w:rsidR="006236B4" w:rsidRPr="005D15B2" w:rsidRDefault="006236B4" w:rsidP="006236B4">
      <w:pPr>
        <w:rPr>
          <w:sz w:val="20"/>
          <w:szCs w:val="20"/>
        </w:rPr>
      </w:pPr>
      <w:r w:rsidRPr="005D15B2">
        <w:rPr>
          <w:sz w:val="20"/>
          <w:szCs w:val="20"/>
        </w:rPr>
        <w:t>Beschreibung und Werte von erhaltenen und gegebenen Garantien und anderen Risikotransferinstrumenten (insbesondere innerhalb von Versichergruppen). Erläuterungen zu den benutzten Modellen und Parametern.</w:t>
      </w:r>
    </w:p>
    <w:p w14:paraId="27DAC7C6" w14:textId="77777777" w:rsidR="00C05F52" w:rsidRDefault="00C05F52">
      <w:pPr>
        <w:spacing w:after="160" w:line="259" w:lineRule="auto"/>
        <w:rPr>
          <w:rFonts w:eastAsia="Times New Roman" w:cs="Times New Roman"/>
          <w:b/>
          <w:bCs/>
          <w:sz w:val="36"/>
          <w:szCs w:val="28"/>
        </w:rPr>
      </w:pPr>
      <w:r>
        <w:br w:type="page"/>
      </w:r>
    </w:p>
    <w:p w14:paraId="6BD3C8D7" w14:textId="1CC40AB0" w:rsidR="006236B4" w:rsidRPr="005D15B2" w:rsidRDefault="006236B4" w:rsidP="006236B4">
      <w:pPr>
        <w:pStyle w:val="Heading1"/>
      </w:pPr>
      <w:r w:rsidRPr="005D15B2">
        <w:lastRenderedPageBreak/>
        <w:t>Mindesthöhe der Reserven</w:t>
      </w:r>
    </w:p>
    <w:p w14:paraId="36CCC52F" w14:textId="77777777" w:rsidR="006236B4" w:rsidRPr="005D15B2" w:rsidRDefault="006236B4" w:rsidP="006236B4">
      <w:pPr>
        <w:rPr>
          <w:sz w:val="20"/>
          <w:szCs w:val="20"/>
        </w:rPr>
      </w:pPr>
      <w:r w:rsidRPr="005D15B2">
        <w:rPr>
          <w:sz w:val="20"/>
          <w:szCs w:val="20"/>
        </w:rPr>
        <w:t xml:space="preserve">Höhe und Bemerkungen zur Mindesthöhe der Reserven. Zusammensetzung der Mindesthöhe der Reserven: Verhältnis von Versicherungsrisiko zum Marktrisiko (Expected Shortfall), Einfluss der Szenarien (Zuschlag durch die Aggregation gegenüber dem analytischen Modell), </w:t>
      </w:r>
      <w:r w:rsidRPr="005D15B2">
        <w:rPr>
          <w:noProof/>
          <w:sz w:val="20"/>
          <w:szCs w:val="20"/>
        </w:rPr>
        <w:t>Einbezug des Kreditrisikos.</w:t>
      </w:r>
    </w:p>
    <w:p w14:paraId="68B57743" w14:textId="77777777" w:rsidR="006236B4" w:rsidRPr="005D15B2" w:rsidRDefault="006236B4" w:rsidP="006236B4">
      <w:pPr>
        <w:pStyle w:val="Heading2"/>
      </w:pPr>
      <w:bookmarkStart w:id="0" w:name="_Ref188009311"/>
      <w:r w:rsidRPr="005D15B2">
        <w:t>Versicherungstechnisches Risiko</w:t>
      </w:r>
      <w:bookmarkEnd w:id="0"/>
    </w:p>
    <w:p w14:paraId="14AD215B" w14:textId="77777777" w:rsidR="006236B4" w:rsidRPr="005D15B2" w:rsidRDefault="006236B4" w:rsidP="006236B4">
      <w:pPr>
        <w:rPr>
          <w:sz w:val="20"/>
          <w:szCs w:val="20"/>
        </w:rPr>
      </w:pPr>
      <w:r w:rsidRPr="005D15B2">
        <w:rPr>
          <w:sz w:val="20"/>
          <w:szCs w:val="20"/>
        </w:rPr>
        <w:t>Generell bitte die Ausführungen zu den folgenden Punkten jeweils für jeden Versicherungszweig separat angeben.</w:t>
      </w:r>
    </w:p>
    <w:p w14:paraId="50E555A2" w14:textId="39B63725" w:rsidR="006236B4" w:rsidRPr="005D15B2" w:rsidRDefault="006236B4" w:rsidP="006236B4">
      <w:pPr>
        <w:pStyle w:val="Heading3"/>
        <w:ind w:left="720"/>
      </w:pPr>
      <w:r w:rsidRPr="005D15B2">
        <w:t>Erwartungswert</w:t>
      </w:r>
      <w:r w:rsidR="00A0132A">
        <w:t xml:space="preserve"> </w:t>
      </w:r>
      <w:r w:rsidR="00A0132A" w:rsidRPr="00A0132A">
        <w:t>des Leistungsvolumens</w:t>
      </w:r>
    </w:p>
    <w:p w14:paraId="362EAAF4" w14:textId="22083EF8" w:rsidR="006236B4" w:rsidRPr="008520BC" w:rsidRDefault="006236B4" w:rsidP="004542E3">
      <w:pPr>
        <w:widowControl w:val="0"/>
        <w:rPr>
          <w:sz w:val="20"/>
          <w:szCs w:val="20"/>
        </w:rPr>
      </w:pPr>
      <w:r w:rsidRPr="001D2FBA">
        <w:rPr>
          <w:sz w:val="20"/>
          <w:szCs w:val="20"/>
        </w:rPr>
        <w:t>Ausführliche Darstell</w:t>
      </w:r>
      <w:r w:rsidRPr="008520BC">
        <w:rPr>
          <w:sz w:val="20"/>
          <w:szCs w:val="20"/>
        </w:rPr>
        <w:t xml:space="preserve">ung der verwendeten Schätzmethoden zur Schätzung der Brutto- und Nettoleistungen. Nähere Angaben geben zu: </w:t>
      </w:r>
    </w:p>
    <w:p w14:paraId="09A8E0C5" w14:textId="5164D360" w:rsidR="00A0132A" w:rsidRPr="0028558B" w:rsidRDefault="00A0132A">
      <w:pPr>
        <w:widowControl w:val="0"/>
        <w:numPr>
          <w:ilvl w:val="1"/>
          <w:numId w:val="13"/>
        </w:numPr>
        <w:ind w:left="709" w:hanging="283"/>
        <w:rPr>
          <w:sz w:val="20"/>
          <w:szCs w:val="20"/>
        </w:rPr>
      </w:pPr>
      <w:r w:rsidRPr="00A0132A">
        <w:rPr>
          <w:sz w:val="20"/>
          <w:szCs w:val="20"/>
        </w:rPr>
        <w:t>Schätzung des Leistungsvolumens für das laufende Behandlungsjahr.</w:t>
      </w:r>
    </w:p>
    <w:p w14:paraId="1DB2B822" w14:textId="1AB913F5" w:rsidR="00A0132A" w:rsidRPr="00490BA8" w:rsidRDefault="00A0132A" w:rsidP="004542E3">
      <w:pPr>
        <w:pStyle w:val="ListParagraph"/>
        <w:widowControl w:val="0"/>
        <w:numPr>
          <w:ilvl w:val="1"/>
          <w:numId w:val="13"/>
        </w:numPr>
        <w:ind w:left="709" w:hanging="283"/>
      </w:pPr>
      <w:r w:rsidRPr="00490BA8">
        <w:t>Entsprechende exogene Teuerung</w:t>
      </w:r>
    </w:p>
    <w:p w14:paraId="1D64EA83" w14:textId="43E64B7D" w:rsidR="00A0132A" w:rsidRPr="008520BC" w:rsidRDefault="00A0132A" w:rsidP="004542E3">
      <w:pPr>
        <w:widowControl w:val="0"/>
        <w:numPr>
          <w:ilvl w:val="1"/>
          <w:numId w:val="13"/>
        </w:numPr>
        <w:ind w:left="709" w:hanging="283"/>
        <w:rPr>
          <w:sz w:val="20"/>
          <w:szCs w:val="20"/>
        </w:rPr>
      </w:pPr>
      <w:r w:rsidRPr="00A0132A">
        <w:rPr>
          <w:sz w:val="20"/>
          <w:szCs w:val="20"/>
        </w:rPr>
        <w:t>Entsprechende strukturelle Teuerung</w:t>
      </w:r>
    </w:p>
    <w:p w14:paraId="025ED3E3" w14:textId="77777777" w:rsidR="006236B4" w:rsidRPr="008520BC" w:rsidRDefault="006236B4" w:rsidP="004542E3">
      <w:pPr>
        <w:widowControl w:val="0"/>
        <w:numPr>
          <w:ilvl w:val="1"/>
          <w:numId w:val="13"/>
        </w:numPr>
        <w:ind w:left="709" w:hanging="283"/>
        <w:rPr>
          <w:sz w:val="20"/>
          <w:szCs w:val="20"/>
        </w:rPr>
      </w:pPr>
      <w:r w:rsidRPr="008520BC">
        <w:rPr>
          <w:sz w:val="20"/>
          <w:szCs w:val="20"/>
        </w:rPr>
        <w:t>Durchschnittsbestand (vgl. Wegleitung zum KVG-Solvenztest)</w:t>
      </w:r>
    </w:p>
    <w:p w14:paraId="0AF35534" w14:textId="77777777" w:rsidR="006236B4" w:rsidRPr="001D2FBA" w:rsidRDefault="006236B4" w:rsidP="004542E3">
      <w:pPr>
        <w:widowControl w:val="0"/>
        <w:numPr>
          <w:ilvl w:val="1"/>
          <w:numId w:val="13"/>
        </w:numPr>
        <w:ind w:left="709" w:hanging="283"/>
        <w:rPr>
          <w:sz w:val="20"/>
          <w:szCs w:val="20"/>
        </w:rPr>
      </w:pPr>
      <w:r w:rsidRPr="008520BC">
        <w:rPr>
          <w:sz w:val="20"/>
          <w:szCs w:val="20"/>
        </w:rPr>
        <w:t>Allfälliger Abrechnungsstau, pendent</w:t>
      </w:r>
      <w:r w:rsidRPr="001D2FBA">
        <w:rPr>
          <w:sz w:val="20"/>
          <w:szCs w:val="20"/>
        </w:rPr>
        <w:t>e Gerichtsfälle</w:t>
      </w:r>
    </w:p>
    <w:p w14:paraId="3418660A" w14:textId="77777777" w:rsidR="009B40CA" w:rsidRPr="001D2FBA" w:rsidRDefault="009B40CA" w:rsidP="009B40CA">
      <w:pPr>
        <w:widowControl w:val="0"/>
        <w:ind w:left="720"/>
        <w:rPr>
          <w:sz w:val="20"/>
          <w:szCs w:val="20"/>
        </w:rPr>
      </w:pPr>
    </w:p>
    <w:p w14:paraId="7B943FE8" w14:textId="171BB68D" w:rsidR="0095167B" w:rsidRDefault="006236B4" w:rsidP="003C4BE4">
      <w:pPr>
        <w:rPr>
          <w:sz w:val="20"/>
          <w:szCs w:val="20"/>
        </w:rPr>
      </w:pPr>
      <w:r w:rsidRPr="001D2FBA">
        <w:rPr>
          <w:sz w:val="20"/>
          <w:szCs w:val="20"/>
        </w:rPr>
        <w:t>Jeweils die verwendete Datengrundlage und -granularität sowie die Berechnungsmethodik angeben.</w:t>
      </w:r>
      <w:r w:rsidR="00053541">
        <w:rPr>
          <w:sz w:val="20"/>
          <w:szCs w:val="20"/>
        </w:rPr>
        <w:t xml:space="preserve"> </w:t>
      </w:r>
    </w:p>
    <w:p w14:paraId="0BAE267D" w14:textId="77777777" w:rsidR="0095167B" w:rsidRDefault="0095167B" w:rsidP="003C4BE4">
      <w:pPr>
        <w:rPr>
          <w:sz w:val="20"/>
          <w:szCs w:val="20"/>
        </w:rPr>
      </w:pPr>
    </w:p>
    <w:p w14:paraId="163D92E7" w14:textId="77777777" w:rsidR="00C23A41" w:rsidRDefault="00527336" w:rsidP="004542E3">
      <w:pPr>
        <w:pStyle w:val="Heading3"/>
        <w:ind w:left="709" w:hanging="709"/>
      </w:pPr>
      <w:r w:rsidRPr="005D15B2">
        <w:t>Erwartungswert</w:t>
      </w:r>
      <w:r>
        <w:t xml:space="preserve"> </w:t>
      </w:r>
      <w:r w:rsidR="00A0132A" w:rsidRPr="004542E3">
        <w:t>des Risikoausgleichs</w:t>
      </w:r>
    </w:p>
    <w:p w14:paraId="4F73A600" w14:textId="77777777" w:rsidR="00C23A41" w:rsidRPr="00575B75" w:rsidRDefault="00C23A41" w:rsidP="00C23A41">
      <w:pPr>
        <w:widowControl w:val="0"/>
        <w:rPr>
          <w:sz w:val="20"/>
          <w:szCs w:val="20"/>
        </w:rPr>
      </w:pPr>
      <w:r w:rsidRPr="00575B75">
        <w:rPr>
          <w:sz w:val="20"/>
          <w:szCs w:val="20"/>
        </w:rPr>
        <w:t>Bemerkungen zum Erwartungswert des Risikoausgleichs. Begründung und Erklärung der geschätzten</w:t>
      </w:r>
    </w:p>
    <w:p w14:paraId="22B42F2F" w14:textId="77777777" w:rsidR="00C23A41" w:rsidRPr="005D15B2" w:rsidRDefault="00C23A41" w:rsidP="00C23A41">
      <w:pPr>
        <w:pStyle w:val="ListParagraph"/>
        <w:widowControl w:val="0"/>
        <w:numPr>
          <w:ilvl w:val="1"/>
          <w:numId w:val="13"/>
        </w:numPr>
      </w:pPr>
      <w:r w:rsidRPr="005D15B2">
        <w:t>Bestände je Risikoausgleichsgruppe und PCG (Blatt «</w:t>
      </w:r>
      <w:proofErr w:type="spellStart"/>
      <w:r w:rsidRPr="005D15B2">
        <w:t>Risk_Compensation</w:t>
      </w:r>
      <w:proofErr w:type="spellEnd"/>
      <w:r w:rsidRPr="005D15B2">
        <w:t>»)</w:t>
      </w:r>
    </w:p>
    <w:p w14:paraId="7582E81A" w14:textId="77777777" w:rsidR="00C23A41" w:rsidRPr="004542E3" w:rsidRDefault="00C23A41" w:rsidP="00C23A41">
      <w:pPr>
        <w:pStyle w:val="ListParagraph"/>
        <w:widowControl w:val="0"/>
        <w:numPr>
          <w:ilvl w:val="1"/>
          <w:numId w:val="13"/>
        </w:numPr>
      </w:pPr>
      <w:r w:rsidRPr="005D15B2">
        <w:t>Risikoausgleichssätze (ohne Entlastung der jungen Erwachsenen) und PCG-Zuschläge (Blatt «</w:t>
      </w:r>
      <w:proofErr w:type="spellStart"/>
      <w:r w:rsidRPr="005D15B2">
        <w:t>Risk_Compensation</w:t>
      </w:r>
      <w:proofErr w:type="spellEnd"/>
      <w:r w:rsidRPr="005D15B2">
        <w:t>»).</w:t>
      </w:r>
    </w:p>
    <w:p w14:paraId="726DDB75" w14:textId="533966C8" w:rsidR="00A0132A" w:rsidRPr="004542E3" w:rsidRDefault="00C23A41" w:rsidP="004542E3">
      <w:pPr>
        <w:pStyle w:val="Heading3"/>
        <w:ind w:left="709" w:hanging="709"/>
      </w:pPr>
      <w:bookmarkStart w:id="1" w:name="_Ref188009327"/>
      <w:r w:rsidRPr="00C23A41">
        <w:t>Erwartung des erwarteten Versicherungsergebnisses</w:t>
      </w:r>
      <w:bookmarkEnd w:id="1"/>
    </w:p>
    <w:p w14:paraId="00A9832F" w14:textId="77777777" w:rsidR="00400C73" w:rsidRPr="007B6AB8" w:rsidRDefault="00400C73" w:rsidP="007B6AB8">
      <w:pPr>
        <w:rPr>
          <w:sz w:val="20"/>
        </w:rPr>
      </w:pPr>
      <w:r w:rsidRPr="007B6AB8">
        <w:rPr>
          <w:sz w:val="20"/>
          <w:szCs w:val="20"/>
        </w:rPr>
        <w:t>Anmerkungen zum erwarteten versicherungstechnischen Ergebnis für das laufende Jahr.</w:t>
      </w:r>
    </w:p>
    <w:p w14:paraId="021A5E19" w14:textId="77777777" w:rsidR="00400C73" w:rsidRPr="007B6AB8" w:rsidRDefault="00400C73" w:rsidP="007B6AB8">
      <w:pPr>
        <w:rPr>
          <w:sz w:val="20"/>
        </w:rPr>
      </w:pPr>
    </w:p>
    <w:p w14:paraId="0965A843" w14:textId="4259AFC0" w:rsidR="00C23A41" w:rsidRDefault="00400C73" w:rsidP="00400C73">
      <w:pPr>
        <w:rPr>
          <w:sz w:val="20"/>
          <w:szCs w:val="20"/>
        </w:rPr>
      </w:pPr>
      <w:r w:rsidRPr="007B6AB8">
        <w:rPr>
          <w:sz w:val="20"/>
          <w:szCs w:val="20"/>
        </w:rPr>
        <w:t xml:space="preserve">Insbesondere, wenn die vom Versicherer geschätzte Ergebniserwartung (Werte auf der Registerkarte </w:t>
      </w:r>
      <w:r>
        <w:rPr>
          <w:sz w:val="20"/>
          <w:szCs w:val="20"/>
        </w:rPr>
        <w:t>"</w:t>
      </w:r>
      <w:proofErr w:type="spellStart"/>
      <w:r w:rsidRPr="007B6AB8">
        <w:rPr>
          <w:sz w:val="20"/>
          <w:szCs w:val="20"/>
        </w:rPr>
        <w:t>HE_MindeshöheReserven</w:t>
      </w:r>
      <w:proofErr w:type="spellEnd"/>
      <w:r>
        <w:rPr>
          <w:sz w:val="20"/>
          <w:szCs w:val="20"/>
        </w:rPr>
        <w:t>"</w:t>
      </w:r>
      <w:r w:rsidRPr="007B6AB8">
        <w:rPr>
          <w:sz w:val="20"/>
          <w:szCs w:val="20"/>
        </w:rPr>
        <w:t xml:space="preserve">, Zellen H14 und H15) von der Ergebniserwartung abweicht, die durch die Vergleichsrechnung im Formular geschätzt wurde (Werte auf der Registerkarte </w:t>
      </w:r>
      <w:r>
        <w:rPr>
          <w:sz w:val="20"/>
          <w:szCs w:val="20"/>
        </w:rPr>
        <w:t>"</w:t>
      </w:r>
      <w:proofErr w:type="spellStart"/>
      <w:r w:rsidRPr="007B6AB8">
        <w:rPr>
          <w:sz w:val="20"/>
          <w:szCs w:val="20"/>
        </w:rPr>
        <w:t>HE_ExpctdRes</w:t>
      </w:r>
      <w:proofErr w:type="spellEnd"/>
      <w:r>
        <w:rPr>
          <w:sz w:val="20"/>
          <w:szCs w:val="20"/>
        </w:rPr>
        <w:t>"</w:t>
      </w:r>
      <w:r w:rsidRPr="007B6AB8">
        <w:rPr>
          <w:sz w:val="20"/>
          <w:szCs w:val="20"/>
        </w:rPr>
        <w:t>, Zellen F27 und F32). (Wenn die Erwartungen um mehr als 2%</w:t>
      </w:r>
      <w:r w:rsidR="009E232B">
        <w:rPr>
          <w:sz w:val="20"/>
          <w:szCs w:val="20"/>
        </w:rPr>
        <w:t xml:space="preserve"> vom Prämienvolumen</w:t>
      </w:r>
      <w:r w:rsidRPr="007B6AB8">
        <w:rPr>
          <w:sz w:val="20"/>
          <w:szCs w:val="20"/>
        </w:rPr>
        <w:t xml:space="preserve"> voneinander abweichen, geben Sie bitte systematisch eine Erklärung für die Gründe an, die zu diesen Abweichungen</w:t>
      </w:r>
      <w:r>
        <w:rPr>
          <w:sz w:val="20"/>
          <w:szCs w:val="20"/>
        </w:rPr>
        <w:t xml:space="preserve"> führen</w:t>
      </w:r>
      <w:r w:rsidRPr="007B6AB8">
        <w:rPr>
          <w:sz w:val="20"/>
          <w:szCs w:val="20"/>
        </w:rPr>
        <w:t>).</w:t>
      </w:r>
    </w:p>
    <w:p w14:paraId="388A5516" w14:textId="6979E54A" w:rsidR="00400C73" w:rsidRDefault="00400C73" w:rsidP="00400C73">
      <w:pPr>
        <w:rPr>
          <w:sz w:val="20"/>
          <w:szCs w:val="20"/>
        </w:rPr>
      </w:pPr>
    </w:p>
    <w:p w14:paraId="2E203B43" w14:textId="07DE0C7F" w:rsidR="00400C73" w:rsidRPr="005D15B2" w:rsidRDefault="00400C73" w:rsidP="00400C73">
      <w:pPr>
        <w:widowControl w:val="0"/>
        <w:spacing w:after="120"/>
        <w:rPr>
          <w:sz w:val="20"/>
          <w:szCs w:val="20"/>
        </w:rPr>
      </w:pPr>
      <w:r w:rsidRPr="003C4BE4">
        <w:rPr>
          <w:sz w:val="20"/>
          <w:szCs w:val="20"/>
        </w:rPr>
        <w:t xml:space="preserve">Das versicherungstechnische Ergebnis pro Behandlungsjahr für die </w:t>
      </w:r>
      <w:r>
        <w:rPr>
          <w:sz w:val="20"/>
          <w:szCs w:val="20"/>
        </w:rPr>
        <w:t xml:space="preserve">vorherigen fünf </w:t>
      </w:r>
      <w:r w:rsidRPr="003C4BE4">
        <w:rPr>
          <w:sz w:val="20"/>
          <w:szCs w:val="20"/>
        </w:rPr>
        <w:t>Jahre:</w:t>
      </w:r>
    </w:p>
    <w:tbl>
      <w:tblPr>
        <w:tblStyle w:val="TableGrid"/>
        <w:tblW w:w="0" w:type="auto"/>
        <w:tblInd w:w="-5" w:type="dxa"/>
        <w:tblLook w:val="04A0" w:firstRow="1" w:lastRow="0" w:firstColumn="1" w:lastColumn="0" w:noHBand="0" w:noVBand="1"/>
      </w:tblPr>
      <w:tblGrid>
        <w:gridCol w:w="2693"/>
        <w:gridCol w:w="1134"/>
        <w:gridCol w:w="1134"/>
        <w:gridCol w:w="1134"/>
        <w:gridCol w:w="1134"/>
        <w:gridCol w:w="1134"/>
      </w:tblGrid>
      <w:tr w:rsidR="00400C73" w:rsidRPr="005D15B2" w14:paraId="7D7E0BC8" w14:textId="77777777" w:rsidTr="00A80B12">
        <w:trPr>
          <w:trHeight w:val="340"/>
        </w:trPr>
        <w:tc>
          <w:tcPr>
            <w:tcW w:w="2693" w:type="dxa"/>
          </w:tcPr>
          <w:p w14:paraId="258E5069" w14:textId="77777777" w:rsidR="00400C73" w:rsidRPr="004542E3" w:rsidRDefault="00400C73" w:rsidP="00400C73">
            <w:pPr>
              <w:spacing w:before="60" w:after="60" w:line="240" w:lineRule="auto"/>
              <w:rPr>
                <w:sz w:val="18"/>
                <w:szCs w:val="18"/>
              </w:rPr>
            </w:pPr>
            <w:r w:rsidRPr="004542E3" w:rsidDel="004F2A76">
              <w:rPr>
                <w:sz w:val="18"/>
                <w:szCs w:val="18"/>
              </w:rPr>
              <w:t xml:space="preserve"> </w:t>
            </w:r>
          </w:p>
        </w:tc>
        <w:tc>
          <w:tcPr>
            <w:tcW w:w="1134" w:type="dxa"/>
          </w:tcPr>
          <w:p w14:paraId="5FAF822B" w14:textId="0B0DA9F8" w:rsidR="00400C73" w:rsidRPr="004542E3" w:rsidRDefault="00400C73" w:rsidP="00400C73">
            <w:pPr>
              <w:spacing w:before="60" w:after="60" w:line="240" w:lineRule="auto"/>
              <w:rPr>
                <w:sz w:val="18"/>
                <w:szCs w:val="18"/>
              </w:rPr>
            </w:pPr>
            <w:r w:rsidRPr="00C77505">
              <w:rPr>
                <w:sz w:val="18"/>
                <w:szCs w:val="18"/>
              </w:rPr>
              <w:t>ST 20</w:t>
            </w:r>
            <w:r>
              <w:rPr>
                <w:sz w:val="18"/>
                <w:szCs w:val="18"/>
              </w:rPr>
              <w:t>20</w:t>
            </w:r>
          </w:p>
        </w:tc>
        <w:tc>
          <w:tcPr>
            <w:tcW w:w="1134" w:type="dxa"/>
          </w:tcPr>
          <w:p w14:paraId="6B218409" w14:textId="452A2155" w:rsidR="00400C73" w:rsidRPr="004542E3" w:rsidRDefault="00400C73" w:rsidP="00400C73">
            <w:pPr>
              <w:spacing w:before="60" w:after="60" w:line="240" w:lineRule="auto"/>
              <w:rPr>
                <w:sz w:val="18"/>
                <w:szCs w:val="18"/>
              </w:rPr>
            </w:pPr>
            <w:r w:rsidRPr="00C77505">
              <w:rPr>
                <w:sz w:val="18"/>
                <w:szCs w:val="18"/>
              </w:rPr>
              <w:t>ST 20</w:t>
            </w:r>
            <w:r>
              <w:rPr>
                <w:sz w:val="18"/>
                <w:szCs w:val="18"/>
              </w:rPr>
              <w:t>21</w:t>
            </w:r>
          </w:p>
        </w:tc>
        <w:tc>
          <w:tcPr>
            <w:tcW w:w="1134" w:type="dxa"/>
          </w:tcPr>
          <w:p w14:paraId="7FD333FE" w14:textId="1801E31A" w:rsidR="00400C73" w:rsidRPr="004542E3" w:rsidRDefault="00400C73" w:rsidP="00400C73">
            <w:pPr>
              <w:spacing w:before="60" w:after="60" w:line="240" w:lineRule="auto"/>
              <w:rPr>
                <w:sz w:val="18"/>
                <w:szCs w:val="18"/>
              </w:rPr>
            </w:pPr>
            <w:r w:rsidRPr="00C77505">
              <w:rPr>
                <w:sz w:val="18"/>
                <w:szCs w:val="18"/>
              </w:rPr>
              <w:t>ST 20</w:t>
            </w:r>
            <w:r>
              <w:rPr>
                <w:sz w:val="18"/>
                <w:szCs w:val="18"/>
              </w:rPr>
              <w:t>22</w:t>
            </w:r>
          </w:p>
        </w:tc>
        <w:tc>
          <w:tcPr>
            <w:tcW w:w="1134" w:type="dxa"/>
          </w:tcPr>
          <w:p w14:paraId="647E98AC" w14:textId="2E080382" w:rsidR="00400C73" w:rsidRPr="004542E3" w:rsidRDefault="00400C73" w:rsidP="00400C73">
            <w:pPr>
              <w:spacing w:before="60" w:after="60" w:line="240" w:lineRule="auto"/>
              <w:rPr>
                <w:sz w:val="18"/>
                <w:szCs w:val="18"/>
              </w:rPr>
            </w:pPr>
            <w:r w:rsidRPr="00C77505">
              <w:rPr>
                <w:sz w:val="18"/>
                <w:szCs w:val="18"/>
              </w:rPr>
              <w:t>ST 20</w:t>
            </w:r>
            <w:r>
              <w:rPr>
                <w:sz w:val="18"/>
                <w:szCs w:val="18"/>
              </w:rPr>
              <w:t>23</w:t>
            </w:r>
          </w:p>
        </w:tc>
        <w:tc>
          <w:tcPr>
            <w:tcW w:w="1134" w:type="dxa"/>
          </w:tcPr>
          <w:p w14:paraId="67B3F2FF" w14:textId="6C920ADF" w:rsidR="00400C73" w:rsidRPr="004542E3" w:rsidRDefault="00400C73" w:rsidP="00400C73">
            <w:pPr>
              <w:spacing w:before="60" w:after="60" w:line="240" w:lineRule="auto"/>
              <w:rPr>
                <w:sz w:val="18"/>
                <w:szCs w:val="18"/>
              </w:rPr>
            </w:pPr>
            <w:r w:rsidRPr="00C77505">
              <w:rPr>
                <w:sz w:val="18"/>
                <w:szCs w:val="18"/>
              </w:rPr>
              <w:t>ST 20</w:t>
            </w:r>
            <w:r>
              <w:rPr>
                <w:sz w:val="18"/>
                <w:szCs w:val="18"/>
              </w:rPr>
              <w:t>24</w:t>
            </w:r>
          </w:p>
        </w:tc>
      </w:tr>
      <w:tr w:rsidR="00400C73" w:rsidRPr="005D15B2" w14:paraId="501CAB8E" w14:textId="77777777" w:rsidTr="00A80B12">
        <w:trPr>
          <w:trHeight w:val="340"/>
        </w:trPr>
        <w:tc>
          <w:tcPr>
            <w:tcW w:w="2693" w:type="dxa"/>
          </w:tcPr>
          <w:p w14:paraId="6796EE1E" w14:textId="77777777" w:rsidR="00400C73" w:rsidRPr="004542E3" w:rsidRDefault="00400C73" w:rsidP="00A80B12">
            <w:pPr>
              <w:spacing w:before="60" w:after="60" w:line="240" w:lineRule="auto"/>
              <w:rPr>
                <w:sz w:val="18"/>
                <w:szCs w:val="18"/>
              </w:rPr>
            </w:pPr>
            <w:r w:rsidRPr="004542E3">
              <w:rPr>
                <w:sz w:val="18"/>
                <w:szCs w:val="18"/>
              </w:rPr>
              <w:t>Erwartet im ST</w:t>
            </w:r>
          </w:p>
        </w:tc>
        <w:tc>
          <w:tcPr>
            <w:tcW w:w="1134" w:type="dxa"/>
          </w:tcPr>
          <w:p w14:paraId="2439D57C" w14:textId="77777777" w:rsidR="00400C73" w:rsidRPr="004542E3" w:rsidRDefault="00400C73" w:rsidP="00A80B12">
            <w:pPr>
              <w:spacing w:before="60" w:after="60" w:line="240" w:lineRule="auto"/>
              <w:rPr>
                <w:sz w:val="18"/>
                <w:szCs w:val="18"/>
              </w:rPr>
            </w:pPr>
          </w:p>
        </w:tc>
        <w:tc>
          <w:tcPr>
            <w:tcW w:w="1134" w:type="dxa"/>
          </w:tcPr>
          <w:p w14:paraId="59BFAEB1" w14:textId="77777777" w:rsidR="00400C73" w:rsidRPr="004542E3" w:rsidRDefault="00400C73" w:rsidP="00A80B12">
            <w:pPr>
              <w:spacing w:before="60" w:after="60" w:line="240" w:lineRule="auto"/>
              <w:rPr>
                <w:sz w:val="18"/>
                <w:szCs w:val="18"/>
              </w:rPr>
            </w:pPr>
          </w:p>
        </w:tc>
        <w:tc>
          <w:tcPr>
            <w:tcW w:w="1134" w:type="dxa"/>
          </w:tcPr>
          <w:p w14:paraId="299DA26E" w14:textId="77777777" w:rsidR="00400C73" w:rsidRPr="004542E3" w:rsidRDefault="00400C73" w:rsidP="00A80B12">
            <w:pPr>
              <w:spacing w:before="60" w:after="60" w:line="240" w:lineRule="auto"/>
              <w:rPr>
                <w:sz w:val="18"/>
                <w:szCs w:val="18"/>
              </w:rPr>
            </w:pPr>
          </w:p>
        </w:tc>
        <w:tc>
          <w:tcPr>
            <w:tcW w:w="1134" w:type="dxa"/>
          </w:tcPr>
          <w:p w14:paraId="1F6D1F8B" w14:textId="77777777" w:rsidR="00400C73" w:rsidRPr="004542E3" w:rsidRDefault="00400C73" w:rsidP="00A80B12">
            <w:pPr>
              <w:spacing w:before="60" w:after="60" w:line="240" w:lineRule="auto"/>
              <w:rPr>
                <w:sz w:val="18"/>
                <w:szCs w:val="18"/>
              </w:rPr>
            </w:pPr>
          </w:p>
        </w:tc>
        <w:tc>
          <w:tcPr>
            <w:tcW w:w="1134" w:type="dxa"/>
          </w:tcPr>
          <w:p w14:paraId="385FD936" w14:textId="77777777" w:rsidR="00400C73" w:rsidRPr="004542E3" w:rsidRDefault="00400C73" w:rsidP="00A80B12">
            <w:pPr>
              <w:spacing w:before="60" w:after="60" w:line="240" w:lineRule="auto"/>
              <w:rPr>
                <w:sz w:val="18"/>
                <w:szCs w:val="18"/>
              </w:rPr>
            </w:pPr>
          </w:p>
        </w:tc>
      </w:tr>
      <w:tr w:rsidR="00400C73" w:rsidRPr="005D15B2" w14:paraId="0F50BF5A" w14:textId="77777777" w:rsidTr="00A80B12">
        <w:trPr>
          <w:trHeight w:val="340"/>
        </w:trPr>
        <w:tc>
          <w:tcPr>
            <w:tcW w:w="2693" w:type="dxa"/>
          </w:tcPr>
          <w:p w14:paraId="76EE569A" w14:textId="77777777" w:rsidR="00400C73" w:rsidRPr="004542E3" w:rsidRDefault="00400C73" w:rsidP="00A80B12">
            <w:pPr>
              <w:spacing w:before="60" w:after="60" w:line="240" w:lineRule="auto"/>
              <w:rPr>
                <w:sz w:val="18"/>
                <w:szCs w:val="18"/>
              </w:rPr>
            </w:pPr>
            <w:r w:rsidRPr="004542E3">
              <w:rPr>
                <w:sz w:val="18"/>
                <w:szCs w:val="18"/>
              </w:rPr>
              <w:t>Tatsächlich erreicht *</w:t>
            </w:r>
          </w:p>
        </w:tc>
        <w:tc>
          <w:tcPr>
            <w:tcW w:w="1134" w:type="dxa"/>
          </w:tcPr>
          <w:p w14:paraId="307D40FE" w14:textId="77777777" w:rsidR="00400C73" w:rsidRPr="004542E3" w:rsidRDefault="00400C73" w:rsidP="00A80B12">
            <w:pPr>
              <w:spacing w:before="60" w:after="60" w:line="240" w:lineRule="auto"/>
              <w:rPr>
                <w:sz w:val="18"/>
                <w:szCs w:val="18"/>
              </w:rPr>
            </w:pPr>
          </w:p>
        </w:tc>
        <w:tc>
          <w:tcPr>
            <w:tcW w:w="1134" w:type="dxa"/>
          </w:tcPr>
          <w:p w14:paraId="50330B3E" w14:textId="77777777" w:rsidR="00400C73" w:rsidRPr="004542E3" w:rsidRDefault="00400C73" w:rsidP="00A80B12">
            <w:pPr>
              <w:spacing w:before="60" w:after="60" w:line="240" w:lineRule="auto"/>
              <w:rPr>
                <w:sz w:val="18"/>
                <w:szCs w:val="18"/>
              </w:rPr>
            </w:pPr>
          </w:p>
        </w:tc>
        <w:tc>
          <w:tcPr>
            <w:tcW w:w="1134" w:type="dxa"/>
          </w:tcPr>
          <w:p w14:paraId="5143217D" w14:textId="77777777" w:rsidR="00400C73" w:rsidRPr="004542E3" w:rsidRDefault="00400C73" w:rsidP="00A80B12">
            <w:pPr>
              <w:spacing w:before="60" w:after="60" w:line="240" w:lineRule="auto"/>
              <w:rPr>
                <w:sz w:val="18"/>
                <w:szCs w:val="18"/>
              </w:rPr>
            </w:pPr>
          </w:p>
        </w:tc>
        <w:tc>
          <w:tcPr>
            <w:tcW w:w="1134" w:type="dxa"/>
          </w:tcPr>
          <w:p w14:paraId="17689BB1" w14:textId="77777777" w:rsidR="00400C73" w:rsidRPr="004542E3" w:rsidRDefault="00400C73" w:rsidP="00A80B12">
            <w:pPr>
              <w:spacing w:before="60" w:after="60" w:line="240" w:lineRule="auto"/>
              <w:rPr>
                <w:sz w:val="18"/>
                <w:szCs w:val="18"/>
              </w:rPr>
            </w:pPr>
          </w:p>
        </w:tc>
        <w:tc>
          <w:tcPr>
            <w:tcW w:w="1134" w:type="dxa"/>
          </w:tcPr>
          <w:p w14:paraId="2329A2A1" w14:textId="77777777" w:rsidR="00400C73" w:rsidRPr="004542E3" w:rsidRDefault="00400C73" w:rsidP="00A80B12">
            <w:pPr>
              <w:spacing w:before="60" w:after="60" w:line="240" w:lineRule="auto"/>
              <w:rPr>
                <w:sz w:val="18"/>
                <w:szCs w:val="18"/>
              </w:rPr>
            </w:pPr>
          </w:p>
        </w:tc>
      </w:tr>
    </w:tbl>
    <w:p w14:paraId="27C99067" w14:textId="77777777" w:rsidR="00400C73" w:rsidRPr="004542E3" w:rsidRDefault="00400C73" w:rsidP="00400C73">
      <w:pPr>
        <w:widowControl w:val="0"/>
        <w:spacing w:before="60"/>
        <w:rPr>
          <w:i/>
          <w:iCs/>
          <w:sz w:val="18"/>
          <w:szCs w:val="18"/>
        </w:rPr>
      </w:pPr>
      <w:r w:rsidRPr="004542E3">
        <w:rPr>
          <w:i/>
          <w:iCs/>
          <w:sz w:val="18"/>
          <w:szCs w:val="18"/>
        </w:rPr>
        <w:t>* = [KTO (300+33+35+36+37) +</w:t>
      </w:r>
      <w:r>
        <w:rPr>
          <w:i/>
          <w:iCs/>
          <w:sz w:val="18"/>
          <w:szCs w:val="18"/>
        </w:rPr>
        <w:t xml:space="preserve"> bezahlte </w:t>
      </w:r>
      <w:r w:rsidRPr="004542E3">
        <w:rPr>
          <w:i/>
          <w:iCs/>
          <w:sz w:val="18"/>
          <w:szCs w:val="18"/>
        </w:rPr>
        <w:t xml:space="preserve">Nettoleistungen für das Behandlungsjahr, </w:t>
      </w:r>
      <w:r>
        <w:rPr>
          <w:i/>
          <w:iCs/>
          <w:sz w:val="18"/>
          <w:szCs w:val="18"/>
        </w:rPr>
        <w:t>die</w:t>
      </w:r>
      <w:r w:rsidRPr="004542E3">
        <w:rPr>
          <w:i/>
          <w:iCs/>
          <w:sz w:val="18"/>
          <w:szCs w:val="18"/>
        </w:rPr>
        <w:t xml:space="preserve"> den Informationen in den ABWD entspricht </w:t>
      </w:r>
      <w:r>
        <w:rPr>
          <w:i/>
          <w:iCs/>
          <w:sz w:val="18"/>
          <w:szCs w:val="18"/>
        </w:rPr>
        <w:t xml:space="preserve">+ eigene Schätzung von übrigen Rückstellungen für das betreffende Behandlungsjahr </w:t>
      </w:r>
      <w:r w:rsidRPr="00AF69D0">
        <w:rPr>
          <w:i/>
          <w:iCs/>
          <w:sz w:val="18"/>
          <w:szCs w:val="18"/>
        </w:rPr>
        <w:t xml:space="preserve">+ </w:t>
      </w:r>
      <w:r>
        <w:rPr>
          <w:i/>
          <w:iCs/>
          <w:sz w:val="18"/>
          <w:szCs w:val="18"/>
        </w:rPr>
        <w:t xml:space="preserve">KTO (43+44) </w:t>
      </w:r>
      <w:r w:rsidRPr="004542E3">
        <w:rPr>
          <w:i/>
          <w:iCs/>
          <w:sz w:val="18"/>
          <w:szCs w:val="18"/>
        </w:rPr>
        <w:t>+ endgültige Werte des RA + KTO (500+501+510+516+517+519)].</w:t>
      </w:r>
    </w:p>
    <w:p w14:paraId="7AB57570" w14:textId="77777777" w:rsidR="00400C73" w:rsidRPr="004542E3" w:rsidRDefault="00400C73" w:rsidP="00400C73">
      <w:pPr>
        <w:widowControl w:val="0"/>
        <w:spacing w:before="60"/>
        <w:rPr>
          <w:i/>
          <w:iCs/>
          <w:sz w:val="18"/>
          <w:szCs w:val="18"/>
        </w:rPr>
      </w:pPr>
      <w:r w:rsidRPr="004542E3">
        <w:rPr>
          <w:i/>
          <w:iCs/>
          <w:sz w:val="18"/>
          <w:szCs w:val="18"/>
        </w:rPr>
        <w:t>Wenn die endgültigen Werte noch nicht verfügbar sind, insbesondere für die Beträge des Risikoausgleichs und der Nettoleistungen, ist die bestmögliche Schätzung anzugeben.</w:t>
      </w:r>
    </w:p>
    <w:p w14:paraId="1E674878" w14:textId="77777777" w:rsidR="00400C73" w:rsidRDefault="00400C73" w:rsidP="00400C73">
      <w:pPr>
        <w:widowControl w:val="0"/>
        <w:spacing w:before="60"/>
        <w:rPr>
          <w:sz w:val="20"/>
          <w:szCs w:val="20"/>
        </w:rPr>
      </w:pPr>
    </w:p>
    <w:p w14:paraId="045E3B93" w14:textId="1E6ABC26" w:rsidR="00400C73" w:rsidRPr="007B6AB8" w:rsidRDefault="00400C73" w:rsidP="007B6AB8">
      <w:pPr>
        <w:spacing w:after="160" w:line="259" w:lineRule="auto"/>
        <w:rPr>
          <w:sz w:val="20"/>
          <w:szCs w:val="20"/>
        </w:rPr>
      </w:pPr>
      <w:r w:rsidRPr="000F6AED">
        <w:rPr>
          <w:sz w:val="20"/>
          <w:szCs w:val="20"/>
        </w:rPr>
        <w:t>Zur obigen Tabelle</w:t>
      </w:r>
      <w:r>
        <w:rPr>
          <w:sz w:val="20"/>
          <w:szCs w:val="20"/>
        </w:rPr>
        <w:t>, d</w:t>
      </w:r>
      <w:r w:rsidRPr="005D15B2">
        <w:rPr>
          <w:sz w:val="20"/>
          <w:szCs w:val="20"/>
        </w:rPr>
        <w:t>ie Gründe (z.B. Risikoausgleich, Leistungen) für eine nennenswerte Abweichung nennen und angeben, welche Massnahmen ergriffen wurden/werden, um solche künftig zu vermeiden.</w:t>
      </w:r>
    </w:p>
    <w:p w14:paraId="639B7274" w14:textId="77777777" w:rsidR="00400C73" w:rsidRDefault="00400C73" w:rsidP="007B6AB8"/>
    <w:p w14:paraId="30DA9684" w14:textId="77777777" w:rsidR="006236B4" w:rsidRPr="005D15B2" w:rsidRDefault="006236B4" w:rsidP="006236B4">
      <w:pPr>
        <w:pStyle w:val="Heading3"/>
        <w:ind w:left="720"/>
      </w:pPr>
      <w:r w:rsidRPr="005D15B2">
        <w:t>Variabilität</w:t>
      </w:r>
    </w:p>
    <w:p w14:paraId="4CCD0C03" w14:textId="77777777" w:rsidR="006236B4" w:rsidRPr="005D15B2" w:rsidRDefault="006236B4" w:rsidP="006236B4">
      <w:pPr>
        <w:rPr>
          <w:sz w:val="20"/>
          <w:szCs w:val="20"/>
        </w:rPr>
      </w:pPr>
      <w:r w:rsidRPr="005D15B2">
        <w:rPr>
          <w:sz w:val="20"/>
          <w:szCs w:val="20"/>
        </w:rPr>
        <w:t>Falls aus der Sicht des Versicherers dazu Bemerkungen sind:</w:t>
      </w:r>
    </w:p>
    <w:p w14:paraId="7152A28F" w14:textId="77777777" w:rsidR="006236B4" w:rsidRPr="005D15B2" w:rsidRDefault="006236B4" w:rsidP="006236B4">
      <w:pPr>
        <w:widowControl w:val="0"/>
        <w:numPr>
          <w:ilvl w:val="0"/>
          <w:numId w:val="4"/>
        </w:numPr>
        <w:spacing w:before="120"/>
        <w:ind w:left="714" w:hanging="357"/>
        <w:rPr>
          <w:sz w:val="20"/>
          <w:szCs w:val="20"/>
        </w:rPr>
      </w:pPr>
      <w:r w:rsidRPr="005D15B2">
        <w:rPr>
          <w:sz w:val="20"/>
          <w:szCs w:val="20"/>
        </w:rPr>
        <w:t>Variationskoeffizient des Einzelschadens (vor Rückversicherung)</w:t>
      </w:r>
    </w:p>
    <w:p w14:paraId="0A332F21" w14:textId="77777777" w:rsidR="006236B4" w:rsidRPr="005D15B2" w:rsidRDefault="006236B4" w:rsidP="006236B4">
      <w:pPr>
        <w:widowControl w:val="0"/>
        <w:numPr>
          <w:ilvl w:val="0"/>
          <w:numId w:val="4"/>
        </w:numPr>
        <w:rPr>
          <w:sz w:val="20"/>
          <w:szCs w:val="20"/>
        </w:rPr>
      </w:pPr>
      <w:r w:rsidRPr="005D15B2">
        <w:rPr>
          <w:sz w:val="20"/>
          <w:szCs w:val="20"/>
        </w:rPr>
        <w:t>Variationskoeffizient des Zufallsrisikos (vor Rückversicherung) (Zufallsrisiko des UVG begründen)</w:t>
      </w:r>
    </w:p>
    <w:p w14:paraId="68A3BD1B" w14:textId="77777777" w:rsidR="006236B4" w:rsidRPr="005D15B2" w:rsidRDefault="006236B4" w:rsidP="006236B4">
      <w:pPr>
        <w:widowControl w:val="0"/>
        <w:numPr>
          <w:ilvl w:val="0"/>
          <w:numId w:val="4"/>
        </w:numPr>
        <w:rPr>
          <w:sz w:val="20"/>
          <w:szCs w:val="20"/>
        </w:rPr>
      </w:pPr>
      <w:r w:rsidRPr="005D15B2">
        <w:rPr>
          <w:sz w:val="20"/>
          <w:szCs w:val="20"/>
        </w:rPr>
        <w:t>Variationskoeffizient des Parameterrisikos (vor Rückversicherung)</w:t>
      </w:r>
    </w:p>
    <w:p w14:paraId="6C9AB6E2" w14:textId="77777777" w:rsidR="006236B4" w:rsidRPr="005D15B2" w:rsidRDefault="006236B4" w:rsidP="006236B4">
      <w:pPr>
        <w:widowControl w:val="0"/>
        <w:numPr>
          <w:ilvl w:val="0"/>
          <w:numId w:val="4"/>
        </w:numPr>
        <w:rPr>
          <w:sz w:val="20"/>
          <w:szCs w:val="20"/>
        </w:rPr>
      </w:pPr>
      <w:r w:rsidRPr="005D15B2">
        <w:rPr>
          <w:sz w:val="20"/>
          <w:szCs w:val="20"/>
        </w:rPr>
        <w:t>Abhängigkeit von der Grösse des Krankenversicherers (Anzahl Versicherte, Anzahl Erkrankte)</w:t>
      </w:r>
    </w:p>
    <w:p w14:paraId="0666E288" w14:textId="77777777" w:rsidR="006236B4" w:rsidRPr="005D15B2" w:rsidRDefault="006236B4" w:rsidP="006236B4">
      <w:pPr>
        <w:widowControl w:val="0"/>
        <w:numPr>
          <w:ilvl w:val="0"/>
          <w:numId w:val="4"/>
        </w:numPr>
        <w:rPr>
          <w:sz w:val="20"/>
          <w:szCs w:val="20"/>
        </w:rPr>
      </w:pPr>
      <w:r w:rsidRPr="005D15B2">
        <w:rPr>
          <w:sz w:val="20"/>
          <w:szCs w:val="20"/>
        </w:rPr>
        <w:t>Standardabweichung des Risikoausgleichs</w:t>
      </w:r>
    </w:p>
    <w:p w14:paraId="340D3A92" w14:textId="77777777" w:rsidR="006236B4" w:rsidRPr="005D15B2" w:rsidRDefault="006236B4" w:rsidP="006236B4">
      <w:pPr>
        <w:pStyle w:val="Heading4"/>
      </w:pPr>
      <w:r w:rsidRPr="005D15B2">
        <w:t>Passive Rückversicherung</w:t>
      </w:r>
    </w:p>
    <w:p w14:paraId="7A8CD198" w14:textId="77777777" w:rsidR="006236B4" w:rsidRPr="005D15B2" w:rsidRDefault="006236B4" w:rsidP="006236B4">
      <w:pPr>
        <w:rPr>
          <w:sz w:val="20"/>
          <w:szCs w:val="20"/>
        </w:rPr>
      </w:pPr>
      <w:r w:rsidRPr="005D15B2">
        <w:rPr>
          <w:sz w:val="20"/>
          <w:szCs w:val="20"/>
        </w:rPr>
        <w:t>Beschreibung der abgeschlossenen Rückversicherungsverträge für das aktuelle Geschäftsjahr.</w:t>
      </w:r>
    </w:p>
    <w:p w14:paraId="0751BD44" w14:textId="77777777" w:rsidR="006236B4" w:rsidRPr="005D15B2" w:rsidRDefault="006236B4" w:rsidP="006236B4">
      <w:pPr>
        <w:rPr>
          <w:sz w:val="20"/>
          <w:szCs w:val="20"/>
        </w:rPr>
      </w:pPr>
    </w:p>
    <w:p w14:paraId="65D695B8" w14:textId="77777777" w:rsidR="006236B4" w:rsidRPr="005D15B2" w:rsidRDefault="006236B4" w:rsidP="006236B4">
      <w:pPr>
        <w:rPr>
          <w:sz w:val="20"/>
          <w:szCs w:val="20"/>
        </w:rPr>
      </w:pPr>
      <w:r w:rsidRPr="005D15B2">
        <w:rPr>
          <w:sz w:val="20"/>
          <w:szCs w:val="20"/>
        </w:rPr>
        <w:t>Falls ein Rückversicherungsvertrag von den beiden Standardvarianten (keine reine Abhängigkeit vom Selbstbehalt des Einzelschadens bzw. vom Selbstbehalt des Schadenvolumens) abweicht:</w:t>
      </w:r>
    </w:p>
    <w:p w14:paraId="743AA0A3" w14:textId="77777777" w:rsidR="006236B4" w:rsidRPr="005D15B2" w:rsidRDefault="006236B4" w:rsidP="006236B4">
      <w:pPr>
        <w:rPr>
          <w:sz w:val="20"/>
          <w:szCs w:val="20"/>
        </w:rPr>
      </w:pPr>
      <w:r w:rsidRPr="005D15B2">
        <w:rPr>
          <w:sz w:val="20"/>
          <w:szCs w:val="20"/>
        </w:rPr>
        <w:t>Begründung der Art der Modellierung bzw. der gewählten Parameter (für den Variationskoeffizienten des Einzelschadens und/oder für den Variationskoeffizienten des Parameterrisikos).</w:t>
      </w:r>
    </w:p>
    <w:p w14:paraId="08318388" w14:textId="77777777" w:rsidR="006236B4" w:rsidRPr="005D15B2" w:rsidRDefault="006236B4" w:rsidP="006236B4">
      <w:pPr>
        <w:rPr>
          <w:sz w:val="20"/>
          <w:szCs w:val="20"/>
        </w:rPr>
      </w:pPr>
    </w:p>
    <w:p w14:paraId="6E8FA4B0" w14:textId="77777777" w:rsidR="006236B4" w:rsidRPr="005D15B2" w:rsidRDefault="006236B4" w:rsidP="006236B4">
      <w:pPr>
        <w:rPr>
          <w:sz w:val="20"/>
          <w:szCs w:val="20"/>
        </w:rPr>
      </w:pPr>
      <w:r w:rsidRPr="005D15B2">
        <w:rPr>
          <w:sz w:val="20"/>
          <w:szCs w:val="20"/>
        </w:rPr>
        <w:t>Beschreibung der Auswirkung der passiven Rückversicherung.</w:t>
      </w:r>
    </w:p>
    <w:p w14:paraId="17ADDB31" w14:textId="77777777" w:rsidR="006236B4" w:rsidRPr="005D15B2" w:rsidRDefault="006236B4" w:rsidP="006236B4">
      <w:pPr>
        <w:pStyle w:val="Heading4"/>
      </w:pPr>
      <w:r w:rsidRPr="005D15B2">
        <w:t>Zufalls- und Parameterrisiko</w:t>
      </w:r>
    </w:p>
    <w:p w14:paraId="03BEA5F8" w14:textId="77777777" w:rsidR="006236B4" w:rsidRPr="005D15B2" w:rsidRDefault="006236B4" w:rsidP="006236B4">
      <w:pPr>
        <w:rPr>
          <w:sz w:val="20"/>
          <w:szCs w:val="20"/>
        </w:rPr>
      </w:pPr>
      <w:r w:rsidRPr="005D15B2">
        <w:rPr>
          <w:sz w:val="20"/>
          <w:szCs w:val="20"/>
        </w:rPr>
        <w:t>Variationskoeffizient der jährlichen Leistungen (nach passiver Rückversicherung).</w:t>
      </w:r>
    </w:p>
    <w:p w14:paraId="43F1D34A" w14:textId="77777777" w:rsidR="006236B4" w:rsidRPr="005D15B2" w:rsidRDefault="006236B4" w:rsidP="006236B4">
      <w:pPr>
        <w:rPr>
          <w:sz w:val="20"/>
          <w:szCs w:val="20"/>
        </w:rPr>
      </w:pPr>
      <w:r w:rsidRPr="005D15B2">
        <w:rPr>
          <w:sz w:val="20"/>
          <w:szCs w:val="20"/>
        </w:rPr>
        <w:t>Standardabweichung des versicherungstechnischen Erfolgs (nach passiver Rückversicherung).</w:t>
      </w:r>
    </w:p>
    <w:p w14:paraId="2F43A091" w14:textId="77777777" w:rsidR="006236B4" w:rsidRPr="005D15B2" w:rsidRDefault="006236B4" w:rsidP="006236B4">
      <w:pPr>
        <w:rPr>
          <w:sz w:val="20"/>
          <w:szCs w:val="20"/>
        </w:rPr>
      </w:pPr>
    </w:p>
    <w:p w14:paraId="5073969E" w14:textId="77777777" w:rsidR="006236B4" w:rsidRPr="005D15B2" w:rsidRDefault="006236B4" w:rsidP="006236B4">
      <w:pPr>
        <w:rPr>
          <w:sz w:val="20"/>
          <w:szCs w:val="20"/>
        </w:rPr>
      </w:pPr>
      <w:r w:rsidRPr="005D15B2">
        <w:rPr>
          <w:sz w:val="20"/>
          <w:szCs w:val="20"/>
        </w:rPr>
        <w:t>Plausibilisierung (Aussage zur Angemessenheit) mit der Beobachtung des Versicherers.</w:t>
      </w:r>
    </w:p>
    <w:p w14:paraId="7D661139" w14:textId="77777777" w:rsidR="006236B4" w:rsidRPr="005D15B2" w:rsidRDefault="006236B4" w:rsidP="006236B4">
      <w:pPr>
        <w:pStyle w:val="Heading2"/>
      </w:pPr>
      <w:r w:rsidRPr="005D15B2">
        <w:t>Finanzmarkttechnisches Risiko</w:t>
      </w:r>
    </w:p>
    <w:p w14:paraId="4FAFB224" w14:textId="77777777" w:rsidR="006236B4" w:rsidRPr="005D15B2" w:rsidRDefault="006236B4" w:rsidP="006236B4">
      <w:pPr>
        <w:pStyle w:val="Heading3"/>
        <w:ind w:left="720"/>
      </w:pPr>
      <w:r w:rsidRPr="005D15B2">
        <w:t>Erwartungswert</w:t>
      </w:r>
    </w:p>
    <w:p w14:paraId="2251E16D" w14:textId="77777777" w:rsidR="006236B4" w:rsidRPr="005D15B2" w:rsidRDefault="006236B4" w:rsidP="006236B4">
      <w:pPr>
        <w:rPr>
          <w:sz w:val="20"/>
          <w:szCs w:val="20"/>
        </w:rPr>
      </w:pPr>
      <w:r w:rsidRPr="005D15B2">
        <w:rPr>
          <w:sz w:val="20"/>
          <w:szCs w:val="20"/>
        </w:rPr>
        <w:t>Höhe und Bemerkungen zum erwarteten finanzmarkttechnischen Erfolg des aktuellen Geschäftsjahres.</w:t>
      </w:r>
    </w:p>
    <w:p w14:paraId="3A41DDFA" w14:textId="77777777" w:rsidR="006236B4" w:rsidRPr="005D15B2" w:rsidRDefault="006236B4" w:rsidP="006236B4">
      <w:pPr>
        <w:pStyle w:val="Heading3"/>
        <w:ind w:left="720"/>
      </w:pPr>
      <w:r w:rsidRPr="005D15B2">
        <w:t>Variabilität</w:t>
      </w:r>
    </w:p>
    <w:p w14:paraId="0BED8F53" w14:textId="77777777" w:rsidR="006236B4" w:rsidRPr="00EF3C0E" w:rsidRDefault="006236B4" w:rsidP="006236B4">
      <w:pPr>
        <w:rPr>
          <w:iCs/>
          <w:sz w:val="20"/>
          <w:szCs w:val="20"/>
        </w:rPr>
      </w:pPr>
      <w:r w:rsidRPr="00EF3C0E">
        <w:rPr>
          <w:iCs/>
          <w:sz w:val="20"/>
          <w:szCs w:val="20"/>
        </w:rPr>
        <w:t>Zusätzliche Erläuterungen geben zu:</w:t>
      </w:r>
    </w:p>
    <w:p w14:paraId="33A00BEA" w14:textId="77777777" w:rsidR="006236B4" w:rsidRPr="00EF3C0E" w:rsidRDefault="006236B4" w:rsidP="006236B4">
      <w:pPr>
        <w:pStyle w:val="ListParagraph"/>
        <w:numPr>
          <w:ilvl w:val="0"/>
          <w:numId w:val="9"/>
        </w:numPr>
        <w:rPr>
          <w:iCs/>
        </w:rPr>
      </w:pPr>
      <w:r w:rsidRPr="00EF3C0E">
        <w:rPr>
          <w:iCs/>
        </w:rPr>
        <w:t>Berücksichtigte Positionen (z.B. bezüglich einzelner Titel von Anlagefonds)</w:t>
      </w:r>
    </w:p>
    <w:p w14:paraId="1DF5E2A8" w14:textId="77777777" w:rsidR="006236B4" w:rsidRPr="00EF3C0E" w:rsidRDefault="006236B4" w:rsidP="006236B4">
      <w:pPr>
        <w:pStyle w:val="ListParagraph"/>
        <w:numPr>
          <w:ilvl w:val="0"/>
          <w:numId w:val="9"/>
        </w:numPr>
        <w:rPr>
          <w:iCs/>
        </w:rPr>
      </w:pPr>
      <w:r w:rsidRPr="00EF3C0E">
        <w:rPr>
          <w:iCs/>
        </w:rPr>
        <w:t>Zuordnung der Kapitalanlagen zu den Risikofaktoren (u.a. Methode), bei Spreads insbesondere nähere Angaben zu den Kategorien BB und BBB</w:t>
      </w:r>
    </w:p>
    <w:p w14:paraId="7D0507EA" w14:textId="77777777" w:rsidR="006236B4" w:rsidRPr="00EF3C0E" w:rsidRDefault="006236B4" w:rsidP="006236B4">
      <w:pPr>
        <w:pStyle w:val="ListParagraph"/>
        <w:numPr>
          <w:ilvl w:val="0"/>
          <w:numId w:val="9"/>
        </w:numPr>
        <w:rPr>
          <w:iCs/>
        </w:rPr>
      </w:pPr>
      <w:r w:rsidRPr="00EF3C0E">
        <w:rPr>
          <w:iCs/>
        </w:rPr>
        <w:t>Vorgehen bei der Bestimmung der Werte in der Spalte «Marktnaher Wert der Aktiven mit entsprechendem Risikofaktor»</w:t>
      </w:r>
    </w:p>
    <w:p w14:paraId="450DA7C0" w14:textId="77777777" w:rsidR="006236B4" w:rsidRPr="00EF3C0E" w:rsidRDefault="006236B4" w:rsidP="006236B4">
      <w:pPr>
        <w:pStyle w:val="ListParagraph"/>
        <w:numPr>
          <w:ilvl w:val="0"/>
          <w:numId w:val="9"/>
        </w:numPr>
        <w:rPr>
          <w:iCs/>
        </w:rPr>
      </w:pPr>
      <w:r w:rsidRPr="00EF3C0E">
        <w:rPr>
          <w:iCs/>
        </w:rPr>
        <w:t>Einzelne Berechnungsschritte (inkl. Methode) bezüglich der Ermittlung der Sensitivitäten</w:t>
      </w:r>
    </w:p>
    <w:p w14:paraId="37E94173" w14:textId="77777777" w:rsidR="006236B4" w:rsidRPr="00EF3C0E" w:rsidRDefault="006236B4" w:rsidP="006236B4">
      <w:pPr>
        <w:pStyle w:val="ListParagraph"/>
        <w:numPr>
          <w:ilvl w:val="0"/>
          <w:numId w:val="9"/>
        </w:numPr>
        <w:rPr>
          <w:iCs/>
        </w:rPr>
      </w:pPr>
      <w:r w:rsidRPr="00EF3C0E">
        <w:rPr>
          <w:iCs/>
        </w:rPr>
        <w:t xml:space="preserve">Vorgenommene Vereinfachungen und grobe Schätzung deren Auswirkungen auf den ST-Quotienten </w:t>
      </w:r>
    </w:p>
    <w:p w14:paraId="0A80A44F" w14:textId="77777777" w:rsidR="006236B4" w:rsidRPr="00EF3C0E" w:rsidRDefault="006236B4" w:rsidP="006236B4">
      <w:pPr>
        <w:rPr>
          <w:iCs/>
          <w:sz w:val="20"/>
          <w:szCs w:val="20"/>
        </w:rPr>
      </w:pPr>
    </w:p>
    <w:p w14:paraId="042C21C7" w14:textId="77777777" w:rsidR="007D30C5" w:rsidRPr="005865C6" w:rsidRDefault="007D30C5" w:rsidP="007D30C5">
      <w:pPr>
        <w:autoSpaceDE w:val="0"/>
        <w:autoSpaceDN w:val="0"/>
        <w:adjustRightInd w:val="0"/>
        <w:spacing w:line="276" w:lineRule="auto"/>
        <w:rPr>
          <w:sz w:val="20"/>
          <w:szCs w:val="20"/>
        </w:rPr>
      </w:pPr>
      <w:r w:rsidRPr="005865C6">
        <w:rPr>
          <w:sz w:val="20"/>
          <w:szCs w:val="20"/>
        </w:rPr>
        <w:lastRenderedPageBreak/>
        <w:t xml:space="preserve">Bezüglich kollektiver Kapitalanlagen, vgl. in Analogie </w:t>
      </w:r>
      <w:r w:rsidRPr="005865C6">
        <w:rPr>
          <w:iCs/>
          <w:sz w:val="20"/>
          <w:szCs w:val="20"/>
        </w:rPr>
        <w:t xml:space="preserve">Kapitel 2.7 der sogenannten «Technischen Beschreibung Standardmodell Kreditrisiko» der FINMA. Umgang mit </w:t>
      </w:r>
      <w:r w:rsidR="001208AF" w:rsidRPr="005865C6">
        <w:rPr>
          <w:iCs/>
          <w:sz w:val="20"/>
          <w:szCs w:val="20"/>
        </w:rPr>
        <w:t>kollektiven Kapitalanlagen</w:t>
      </w:r>
      <w:r w:rsidRPr="005865C6">
        <w:rPr>
          <w:iCs/>
          <w:sz w:val="20"/>
          <w:szCs w:val="20"/>
        </w:rPr>
        <w:t xml:space="preserve"> im Marktrisiko erläutern</w:t>
      </w:r>
      <w:r w:rsidR="001208AF" w:rsidRPr="005865C6">
        <w:rPr>
          <w:iCs/>
          <w:sz w:val="20"/>
          <w:szCs w:val="20"/>
        </w:rPr>
        <w:t>.</w:t>
      </w:r>
    </w:p>
    <w:p w14:paraId="2C186FD0" w14:textId="77777777" w:rsidR="007D30C5" w:rsidRPr="00EF3C0E" w:rsidRDefault="007D30C5" w:rsidP="006236B4">
      <w:pPr>
        <w:rPr>
          <w:iCs/>
          <w:sz w:val="20"/>
          <w:szCs w:val="20"/>
        </w:rPr>
      </w:pPr>
    </w:p>
    <w:p w14:paraId="408651F5" w14:textId="77777777" w:rsidR="006236B4" w:rsidRPr="00EF3C0E" w:rsidRDefault="006236B4" w:rsidP="006236B4">
      <w:pPr>
        <w:rPr>
          <w:iCs/>
          <w:sz w:val="20"/>
          <w:szCs w:val="20"/>
        </w:rPr>
      </w:pPr>
      <w:r w:rsidRPr="00EF3C0E">
        <w:rPr>
          <w:iCs/>
          <w:sz w:val="20"/>
          <w:szCs w:val="20"/>
        </w:rPr>
        <w:t>Standardabweichung des finanzmarkttechnischen Erfolgs derjenigen Anlagen, die vom Versicherer als zum KVG-Geschäft zugeordnet bezeichnet werden. Aufgliederung nach Risikokategorien (Zinsen, Aktien, etc.).</w:t>
      </w:r>
    </w:p>
    <w:p w14:paraId="7C030435" w14:textId="77777777" w:rsidR="006236B4" w:rsidRPr="00EF3C0E" w:rsidRDefault="006236B4" w:rsidP="006236B4">
      <w:pPr>
        <w:rPr>
          <w:iCs/>
          <w:sz w:val="20"/>
          <w:szCs w:val="20"/>
        </w:rPr>
      </w:pPr>
    </w:p>
    <w:p w14:paraId="1AC56E27" w14:textId="77777777" w:rsidR="006236B4" w:rsidRPr="00EF3C0E" w:rsidRDefault="006236B4" w:rsidP="006236B4">
      <w:pPr>
        <w:rPr>
          <w:iCs/>
          <w:sz w:val="20"/>
          <w:szCs w:val="20"/>
        </w:rPr>
      </w:pPr>
      <w:r w:rsidRPr="00EF3C0E">
        <w:rPr>
          <w:iCs/>
          <w:sz w:val="20"/>
          <w:szCs w:val="20"/>
        </w:rPr>
        <w:t>Plausibilisierung (Aussage zur Angemessenheit) mit der Beobachtung des Versicherers.</w:t>
      </w:r>
    </w:p>
    <w:p w14:paraId="231F7C40" w14:textId="77777777" w:rsidR="006236B4" w:rsidRPr="005D15B2" w:rsidRDefault="006236B4" w:rsidP="006236B4">
      <w:pPr>
        <w:pStyle w:val="Heading2"/>
      </w:pPr>
      <w:r w:rsidRPr="005D15B2">
        <w:t>Szenarien</w:t>
      </w:r>
    </w:p>
    <w:p w14:paraId="09EE71EE" w14:textId="07613418" w:rsidR="006236B4" w:rsidRPr="005D15B2" w:rsidRDefault="002F6EE7" w:rsidP="006236B4">
      <w:pPr>
        <w:pStyle w:val="Heading3"/>
        <w:ind w:left="720"/>
      </w:pPr>
      <w:r>
        <w:t>B</w:t>
      </w:r>
      <w:r w:rsidR="006236B4" w:rsidRPr="005D15B2">
        <w:t>enötigten Daten</w:t>
      </w:r>
    </w:p>
    <w:p w14:paraId="1B95604D" w14:textId="36F7C96B" w:rsidR="006236B4" w:rsidRPr="005D15B2" w:rsidRDefault="00943F7C" w:rsidP="006236B4">
      <w:pPr>
        <w:rPr>
          <w:sz w:val="20"/>
          <w:szCs w:val="20"/>
        </w:rPr>
      </w:pPr>
      <w:r w:rsidRPr="007C6F5B">
        <w:rPr>
          <w:sz w:val="20"/>
          <w:szCs w:val="20"/>
        </w:rPr>
        <w:t xml:space="preserve">Z.B. </w:t>
      </w:r>
      <w:r w:rsidR="006236B4" w:rsidRPr="007C6F5B">
        <w:rPr>
          <w:sz w:val="20"/>
          <w:szCs w:val="20"/>
        </w:rPr>
        <w:t>Anzahl Versicherte, Bruttoprämien, Risikoausgleich.</w:t>
      </w:r>
    </w:p>
    <w:p w14:paraId="4C9C1D39" w14:textId="77777777" w:rsidR="006236B4" w:rsidRPr="005D15B2" w:rsidRDefault="006236B4" w:rsidP="006236B4">
      <w:pPr>
        <w:rPr>
          <w:sz w:val="20"/>
          <w:szCs w:val="20"/>
        </w:rPr>
      </w:pPr>
      <w:r w:rsidRPr="005D15B2">
        <w:rPr>
          <w:sz w:val="20"/>
          <w:szCs w:val="20"/>
        </w:rPr>
        <w:t>Strategie für das folgende Geschäftsjahr. Verwendete Methoden.</w:t>
      </w:r>
    </w:p>
    <w:p w14:paraId="1C19F6D7" w14:textId="77777777" w:rsidR="006236B4" w:rsidRPr="005D15B2" w:rsidRDefault="006236B4" w:rsidP="006236B4">
      <w:pPr>
        <w:pStyle w:val="Heading3"/>
        <w:ind w:left="720"/>
      </w:pPr>
      <w:r w:rsidRPr="005D15B2">
        <w:t>Resultat der Szenarien</w:t>
      </w:r>
    </w:p>
    <w:p w14:paraId="2B1F557F" w14:textId="490DB1DD" w:rsidR="006236B4" w:rsidRPr="005D15B2" w:rsidRDefault="006236B4" w:rsidP="006236B4">
      <w:pPr>
        <w:rPr>
          <w:sz w:val="20"/>
          <w:szCs w:val="20"/>
        </w:rPr>
      </w:pPr>
      <w:r w:rsidRPr="005D15B2">
        <w:rPr>
          <w:sz w:val="20"/>
          <w:szCs w:val="20"/>
        </w:rPr>
        <w:t>Einschätzung des Versicherers zur Höhe der einzelnen Szenarien, insbesondere zu den BAG-Szenarien.</w:t>
      </w:r>
    </w:p>
    <w:p w14:paraId="6C1FB63C" w14:textId="77777777" w:rsidR="006236B4" w:rsidRPr="005D15B2" w:rsidRDefault="006236B4" w:rsidP="006236B4">
      <w:pPr>
        <w:rPr>
          <w:sz w:val="20"/>
          <w:szCs w:val="20"/>
        </w:rPr>
      </w:pPr>
      <w:bookmarkStart w:id="2" w:name="OLE_LINK1"/>
    </w:p>
    <w:p w14:paraId="179F187B" w14:textId="77777777" w:rsidR="006236B4" w:rsidRPr="005D15B2" w:rsidRDefault="006236B4" w:rsidP="006236B4">
      <w:pPr>
        <w:rPr>
          <w:sz w:val="20"/>
          <w:szCs w:val="20"/>
        </w:rPr>
      </w:pPr>
      <w:r w:rsidRPr="005D15B2">
        <w:rPr>
          <w:sz w:val="20"/>
          <w:szCs w:val="20"/>
        </w:rPr>
        <w:t>Plausibilisierung (Aussage zur Angemessenheit) mit der Beobachtung des Versicherers.</w:t>
      </w:r>
    </w:p>
    <w:bookmarkEnd w:id="2"/>
    <w:p w14:paraId="4D7AE3C0" w14:textId="77777777" w:rsidR="006236B4" w:rsidRPr="005D15B2" w:rsidRDefault="006236B4" w:rsidP="006236B4">
      <w:pPr>
        <w:pStyle w:val="Heading2"/>
      </w:pPr>
      <w:r w:rsidRPr="005D15B2">
        <w:t>Kreditrisiko</w:t>
      </w:r>
    </w:p>
    <w:p w14:paraId="7E801802" w14:textId="77777777" w:rsidR="006236B4" w:rsidRPr="005D15B2" w:rsidRDefault="006236B4" w:rsidP="006236B4">
      <w:pPr>
        <w:rPr>
          <w:sz w:val="20"/>
          <w:szCs w:val="20"/>
        </w:rPr>
      </w:pPr>
      <w:r w:rsidRPr="005D15B2">
        <w:rPr>
          <w:sz w:val="20"/>
          <w:szCs w:val="20"/>
        </w:rPr>
        <w:t xml:space="preserve">Darstellung der Resultate für das Kreditrisiko. Information zur Berücksichtigung des Kreditrisikos auf der Kapitalanlagen-Seite (z.B. Post- und Bankkonten, Obligationen: Direktanlagen und Funds), Forderungen gegenüber versicherten Personen, s. Art. 64a KVG, gruppeninterne Forderungen sowie Informationen und Resultat zur Berücksichtigung des Kreditrisikos auf Grund von Rückversicherung (keine abschliessende Aufzählung). </w:t>
      </w:r>
    </w:p>
    <w:p w14:paraId="13260E13" w14:textId="77777777" w:rsidR="006236B4" w:rsidRPr="005D15B2" w:rsidRDefault="006236B4" w:rsidP="006236B4">
      <w:pPr>
        <w:rPr>
          <w:sz w:val="20"/>
          <w:szCs w:val="20"/>
        </w:rPr>
      </w:pPr>
    </w:p>
    <w:p w14:paraId="35F6A06E" w14:textId="77777777" w:rsidR="007D30C5" w:rsidRPr="005D15B2" w:rsidRDefault="007D30C5" w:rsidP="007D30C5">
      <w:pPr>
        <w:rPr>
          <w:sz w:val="20"/>
          <w:szCs w:val="20"/>
        </w:rPr>
      </w:pPr>
      <w:r w:rsidRPr="005D15B2">
        <w:rPr>
          <w:sz w:val="20"/>
          <w:szCs w:val="20"/>
        </w:rPr>
        <w:t xml:space="preserve">Erfasst werden muss auch die Position aktive Rechnungsabgrenzung Risikoausgleich in der Kategorie „5 Gemeinschaftseinrichtungen“ mit dem kleinsten Risikogewicht von 20%. </w:t>
      </w:r>
      <w:proofErr w:type="gramStart"/>
      <w:r w:rsidRPr="005D15B2">
        <w:rPr>
          <w:sz w:val="20"/>
          <w:szCs w:val="20"/>
        </w:rPr>
        <w:t>Bezüglich Risiko</w:t>
      </w:r>
      <w:proofErr w:type="gramEnd"/>
      <w:r w:rsidRPr="005D15B2">
        <w:rPr>
          <w:sz w:val="20"/>
          <w:szCs w:val="20"/>
        </w:rPr>
        <w:t xml:space="preserve"> einer Beitragskürzung vgl. Art. 19 Abs. 4 VORA.</w:t>
      </w:r>
    </w:p>
    <w:p w14:paraId="51757846" w14:textId="77777777" w:rsidR="007D30C5" w:rsidRPr="005D15B2" w:rsidRDefault="007D30C5" w:rsidP="006236B4">
      <w:pPr>
        <w:rPr>
          <w:sz w:val="20"/>
          <w:szCs w:val="20"/>
        </w:rPr>
      </w:pPr>
    </w:p>
    <w:p w14:paraId="2293E6E1" w14:textId="77777777" w:rsidR="006236B4" w:rsidRPr="005D15B2" w:rsidRDefault="006236B4" w:rsidP="006236B4">
      <w:pPr>
        <w:rPr>
          <w:iCs/>
          <w:sz w:val="20"/>
          <w:szCs w:val="20"/>
        </w:rPr>
      </w:pPr>
      <w:r w:rsidRPr="005D15B2">
        <w:rPr>
          <w:iCs/>
          <w:sz w:val="20"/>
          <w:szCs w:val="20"/>
        </w:rPr>
        <w:t>Für die einzelnen Bilanzpositionen mit einem Kreditrisiko in einer Überleitungstabelle aufzeigen, unter welcher Position diese erfasst werden:</w:t>
      </w:r>
    </w:p>
    <w:p w14:paraId="1F0D0A3A" w14:textId="77777777" w:rsidR="006236B4" w:rsidRPr="005D15B2" w:rsidRDefault="006236B4" w:rsidP="006236B4">
      <w:pPr>
        <w:pStyle w:val="ListParagraph"/>
        <w:numPr>
          <w:ilvl w:val="0"/>
          <w:numId w:val="9"/>
        </w:numPr>
        <w:rPr>
          <w:iCs/>
        </w:rPr>
      </w:pPr>
      <w:r w:rsidRPr="005D15B2">
        <w:rPr>
          <w:iCs/>
        </w:rPr>
        <w:t>in der revidierten Bilanz der Jahresberichterstattung (Konto-Nr.),</w:t>
      </w:r>
    </w:p>
    <w:p w14:paraId="524E074B" w14:textId="77777777" w:rsidR="006236B4" w:rsidRPr="005D15B2" w:rsidRDefault="006236B4" w:rsidP="006236B4">
      <w:pPr>
        <w:pStyle w:val="ListParagraph"/>
        <w:numPr>
          <w:ilvl w:val="0"/>
          <w:numId w:val="9"/>
        </w:numPr>
        <w:rPr>
          <w:iCs/>
        </w:rPr>
      </w:pPr>
      <w:r w:rsidRPr="005D15B2">
        <w:rPr>
          <w:iCs/>
        </w:rPr>
        <w:t>in der marktnahen Bilanz (Position im ST-sheet «</w:t>
      </w:r>
      <w:proofErr w:type="spellStart"/>
      <w:r w:rsidRPr="005D15B2">
        <w:rPr>
          <w:iCs/>
        </w:rPr>
        <w:t>BewDifferenzen_Statut</w:t>
      </w:r>
      <w:proofErr w:type="spellEnd"/>
      <w:r w:rsidRPr="005D15B2">
        <w:rPr>
          <w:iCs/>
        </w:rPr>
        <w:t xml:space="preserve">-Marktnah») und </w:t>
      </w:r>
    </w:p>
    <w:p w14:paraId="167AB93E" w14:textId="77777777" w:rsidR="006236B4" w:rsidRPr="005D15B2" w:rsidRDefault="006236B4" w:rsidP="006236B4">
      <w:pPr>
        <w:pStyle w:val="ListParagraph"/>
        <w:numPr>
          <w:ilvl w:val="0"/>
          <w:numId w:val="9"/>
        </w:numPr>
        <w:rPr>
          <w:iCs/>
        </w:rPr>
      </w:pPr>
      <w:r w:rsidRPr="005D15B2">
        <w:rPr>
          <w:iCs/>
        </w:rPr>
        <w:t>im ST-sheet «Input Basel III» (Rubrik und Rating-Klasse)</w:t>
      </w:r>
    </w:p>
    <w:p w14:paraId="7D212FB3" w14:textId="77777777" w:rsidR="006236B4" w:rsidRPr="005D15B2" w:rsidRDefault="006236B4" w:rsidP="006236B4">
      <w:pPr>
        <w:rPr>
          <w:iCs/>
          <w:sz w:val="20"/>
          <w:szCs w:val="20"/>
        </w:rPr>
      </w:pPr>
    </w:p>
    <w:p w14:paraId="7D2FDE5C" w14:textId="77777777" w:rsidR="007D30C5" w:rsidRPr="005D15B2" w:rsidRDefault="007D30C5" w:rsidP="007D30C5">
      <w:pPr>
        <w:autoSpaceDE w:val="0"/>
        <w:autoSpaceDN w:val="0"/>
        <w:adjustRightInd w:val="0"/>
        <w:spacing w:line="276" w:lineRule="auto"/>
        <w:rPr>
          <w:rFonts w:ascii="CIDFont+F1" w:hAnsi="CIDFont+F1" w:cs="CIDFont+F1"/>
          <w:sz w:val="20"/>
          <w:szCs w:val="20"/>
        </w:rPr>
      </w:pPr>
      <w:r w:rsidRPr="005D15B2">
        <w:rPr>
          <w:rFonts w:ascii="CIDFont+F1" w:hAnsi="CIDFont+F1" w:cs="CIDFont+F1"/>
          <w:sz w:val="20"/>
          <w:szCs w:val="20"/>
        </w:rPr>
        <w:t xml:space="preserve">Kollektive Kapitalanlagen sind, wenn immer möglich, in </w:t>
      </w:r>
      <w:r w:rsidR="008C5247" w:rsidRPr="005D15B2">
        <w:rPr>
          <w:rFonts w:ascii="CIDFont+F1" w:hAnsi="CIDFont+F1" w:cs="CIDFont+F1"/>
          <w:sz w:val="20"/>
          <w:szCs w:val="20"/>
        </w:rPr>
        <w:t>ihre</w:t>
      </w:r>
      <w:r w:rsidRPr="005D15B2">
        <w:rPr>
          <w:rFonts w:ascii="CIDFont+F1" w:hAnsi="CIDFont+F1" w:cs="CIDFont+F1"/>
          <w:sz w:val="20"/>
          <w:szCs w:val="20"/>
        </w:rPr>
        <w:t xml:space="preserve"> Bestandteile zu zerlegen, welche dann im Kreditrisikomodell berücksichtigt werden </w:t>
      </w:r>
      <w:r w:rsidRPr="005D15B2">
        <w:rPr>
          <w:iCs/>
          <w:sz w:val="20"/>
          <w:szCs w:val="20"/>
        </w:rPr>
        <w:t>(vgl. dazu Kapitel 2.7 der sogenannten Technischen Beschreibung Standardmodell Kreditrisiko FINMA). Erfassung und Gewichtung der kollektiven Kapitalanlagen im Kreditrisiko erläutern.</w:t>
      </w:r>
    </w:p>
    <w:p w14:paraId="307264D6" w14:textId="77777777" w:rsidR="007D30C5" w:rsidRPr="005D15B2" w:rsidRDefault="007D30C5" w:rsidP="006236B4">
      <w:pPr>
        <w:rPr>
          <w:iCs/>
          <w:sz w:val="20"/>
          <w:szCs w:val="20"/>
        </w:rPr>
      </w:pPr>
    </w:p>
    <w:p w14:paraId="2F93317F" w14:textId="77777777" w:rsidR="006236B4" w:rsidRPr="005D15B2" w:rsidRDefault="006236B4" w:rsidP="006236B4">
      <w:pPr>
        <w:rPr>
          <w:iCs/>
          <w:sz w:val="20"/>
          <w:szCs w:val="20"/>
        </w:rPr>
      </w:pPr>
      <w:r w:rsidRPr="005D15B2">
        <w:rPr>
          <w:iCs/>
          <w:sz w:val="20"/>
          <w:szCs w:val="20"/>
        </w:rPr>
        <w:t>Erläutern, ob alle Positionen mit einem Kreditrisiko, die kein Rating einer anerkannten Ratinggesellschaft besitzen, die Bezeichnung nicht-</w:t>
      </w:r>
      <w:proofErr w:type="spellStart"/>
      <w:r w:rsidRPr="005D15B2">
        <w:rPr>
          <w:iCs/>
          <w:sz w:val="20"/>
          <w:szCs w:val="20"/>
        </w:rPr>
        <w:t>gerated</w:t>
      </w:r>
      <w:proofErr w:type="spellEnd"/>
      <w:r w:rsidRPr="005D15B2">
        <w:rPr>
          <w:iCs/>
          <w:sz w:val="20"/>
          <w:szCs w:val="20"/>
        </w:rPr>
        <w:t xml:space="preserve"> haben.</w:t>
      </w:r>
    </w:p>
    <w:p w14:paraId="3CDEA11D" w14:textId="77777777" w:rsidR="006236B4" w:rsidRPr="005D15B2" w:rsidRDefault="006236B4" w:rsidP="006236B4">
      <w:pPr>
        <w:rPr>
          <w:iCs/>
          <w:sz w:val="20"/>
          <w:szCs w:val="20"/>
        </w:rPr>
      </w:pPr>
    </w:p>
    <w:p w14:paraId="43D7B66B" w14:textId="77777777" w:rsidR="006236B4" w:rsidRPr="005D15B2" w:rsidRDefault="006236B4" w:rsidP="006236B4">
      <w:pPr>
        <w:rPr>
          <w:iCs/>
          <w:sz w:val="20"/>
          <w:szCs w:val="20"/>
        </w:rPr>
      </w:pPr>
      <w:r w:rsidRPr="005D15B2">
        <w:rPr>
          <w:iCs/>
          <w:sz w:val="20"/>
          <w:szCs w:val="20"/>
        </w:rPr>
        <w:t>Plausibilisierung (Aussage zur Angemessenheit) mit der Beobachtung des Versicherers.</w:t>
      </w:r>
    </w:p>
    <w:p w14:paraId="457DFB64" w14:textId="37182E19" w:rsidR="006236B4" w:rsidRPr="005D15B2" w:rsidRDefault="00401014" w:rsidP="006236B4">
      <w:pPr>
        <w:pStyle w:val="Heading1"/>
      </w:pPr>
      <w:r>
        <w:lastRenderedPageBreak/>
        <w:t>W</w:t>
      </w:r>
      <w:r w:rsidR="006236B4" w:rsidRPr="005D15B2">
        <w:t>eitere Risiken</w:t>
      </w:r>
    </w:p>
    <w:p w14:paraId="0D2200F9" w14:textId="77777777" w:rsidR="006236B4" w:rsidRPr="005D15B2" w:rsidRDefault="006236B4" w:rsidP="006236B4">
      <w:pPr>
        <w:pStyle w:val="Heading2"/>
      </w:pPr>
      <w:r w:rsidRPr="005D15B2">
        <w:t>Beschreibung von Risiken, welche nicht in die Mindest</w:t>
      </w:r>
      <w:r w:rsidRPr="005D15B2">
        <w:softHyphen/>
        <w:t>höhe der Reserven nach KVG einfliessen</w:t>
      </w:r>
    </w:p>
    <w:p w14:paraId="6C8C1B88" w14:textId="6E4E9273" w:rsidR="006236B4" w:rsidRPr="005D15B2" w:rsidRDefault="006236B4" w:rsidP="006236B4">
      <w:pPr>
        <w:rPr>
          <w:sz w:val="20"/>
          <w:szCs w:val="20"/>
        </w:rPr>
      </w:pPr>
      <w:r w:rsidRPr="005D15B2">
        <w:rPr>
          <w:sz w:val="20"/>
          <w:szCs w:val="20"/>
        </w:rPr>
        <w:t>z.B. Versicherungs-, Markt- und Kreditrisiken aus dem VVG- und/oder UVG-Geschäft</w:t>
      </w:r>
      <w:r w:rsidR="00BB293F">
        <w:rPr>
          <w:sz w:val="20"/>
          <w:szCs w:val="20"/>
        </w:rPr>
        <w:t xml:space="preserve"> und/oder Liechtenstein</w:t>
      </w:r>
      <w:r w:rsidRPr="005D15B2">
        <w:rPr>
          <w:sz w:val="20"/>
          <w:szCs w:val="20"/>
        </w:rPr>
        <w:t>.</w:t>
      </w:r>
    </w:p>
    <w:p w14:paraId="560930C2" w14:textId="77777777" w:rsidR="006236B4" w:rsidRPr="005D15B2" w:rsidRDefault="006236B4" w:rsidP="006236B4">
      <w:pPr>
        <w:pStyle w:val="Heading2"/>
      </w:pPr>
      <w:r w:rsidRPr="005D15B2">
        <w:t>Operationelle Risiken</w:t>
      </w:r>
    </w:p>
    <w:p w14:paraId="39A06229" w14:textId="77777777" w:rsidR="006236B4" w:rsidRPr="005D15B2" w:rsidRDefault="006236B4" w:rsidP="006236B4">
      <w:pPr>
        <w:rPr>
          <w:sz w:val="20"/>
          <w:szCs w:val="20"/>
        </w:rPr>
      </w:pPr>
      <w:r w:rsidRPr="005D15B2">
        <w:rPr>
          <w:sz w:val="20"/>
          <w:szCs w:val="20"/>
        </w:rPr>
        <w:t>Risiken als Folge der Unangemessenheit oder des Versagens von internen Verfahren (Prozessen), Menschen (z.B. Betrugsfälle, Managementfehlleistungen) und Systemen (Infrastruktur). Bemerkungen zum Risikomanagement (Massnahmen zur Minimierung dieser Risiken). Risiken durch staatliche Regulierung, durch Konkurrenz mit Mitbewerbern, Reputationsrisiko, Umweltrisiken, etc.</w:t>
      </w:r>
    </w:p>
    <w:p w14:paraId="58E29702" w14:textId="724CBB6E" w:rsidR="00AD2D71" w:rsidRDefault="00AD2D71" w:rsidP="00AD2D71">
      <w:pPr>
        <w:pStyle w:val="Heading2"/>
      </w:pPr>
      <w:r>
        <w:t>Ereignisse nach dem 01. Januar 202</w:t>
      </w:r>
      <w:r w:rsidR="00E13C3D">
        <w:t>5</w:t>
      </w:r>
    </w:p>
    <w:p w14:paraId="3671BDFA" w14:textId="6C20372F" w:rsidR="00815304" w:rsidRPr="00AD2D71" w:rsidRDefault="00815304" w:rsidP="00AD2D71">
      <w:pPr>
        <w:rPr>
          <w:sz w:val="20"/>
          <w:szCs w:val="20"/>
        </w:rPr>
      </w:pPr>
      <w:r w:rsidRPr="00815304">
        <w:rPr>
          <w:sz w:val="20"/>
          <w:szCs w:val="20"/>
        </w:rPr>
        <w:t xml:space="preserve">Kommentieren Sie jede signifikante </w:t>
      </w:r>
      <w:r w:rsidR="00DE5B34">
        <w:rPr>
          <w:sz w:val="20"/>
          <w:szCs w:val="20"/>
        </w:rPr>
        <w:t xml:space="preserve">Änderung </w:t>
      </w:r>
      <w:r w:rsidRPr="00815304">
        <w:rPr>
          <w:sz w:val="20"/>
          <w:szCs w:val="20"/>
        </w:rPr>
        <w:t>eines Risikos, die zwischen dem Stichtag des Solvenztests (1. Januar) und dem Datum, an dem der Bericht über den Solvenztest eingereicht wird, stattgefunden hat.</w:t>
      </w:r>
    </w:p>
    <w:p w14:paraId="7C7BC675" w14:textId="77777777" w:rsidR="006236B4" w:rsidRPr="005D15B2" w:rsidRDefault="006236B4" w:rsidP="006236B4">
      <w:pPr>
        <w:pStyle w:val="Heading1"/>
      </w:pPr>
      <w:r w:rsidRPr="005D15B2">
        <w:t>Bemerkungen zum KVG-Solvenztest</w:t>
      </w:r>
    </w:p>
    <w:p w14:paraId="337963AD" w14:textId="77777777" w:rsidR="006236B4" w:rsidRPr="005D15B2" w:rsidRDefault="006236B4" w:rsidP="006236B4">
      <w:pPr>
        <w:pStyle w:val="Heading2"/>
      </w:pPr>
      <w:r w:rsidRPr="005D15B2">
        <w:t>Generelle Bemerkungen</w:t>
      </w:r>
    </w:p>
    <w:p w14:paraId="52F1B059" w14:textId="77777777" w:rsidR="006236B4" w:rsidRPr="005D15B2" w:rsidRDefault="006236B4" w:rsidP="006236B4">
      <w:pPr>
        <w:widowControl w:val="0"/>
        <w:numPr>
          <w:ilvl w:val="0"/>
          <w:numId w:val="5"/>
        </w:numPr>
        <w:rPr>
          <w:sz w:val="20"/>
          <w:szCs w:val="20"/>
        </w:rPr>
      </w:pPr>
      <w:r w:rsidRPr="005D15B2">
        <w:rPr>
          <w:sz w:val="20"/>
          <w:szCs w:val="20"/>
        </w:rPr>
        <w:t>Auskunftsperson, Telefonnummer, E-Mail-Adresse.</w:t>
      </w:r>
    </w:p>
    <w:p w14:paraId="1D0731A2" w14:textId="77777777" w:rsidR="006236B4" w:rsidRPr="005D15B2" w:rsidRDefault="006236B4" w:rsidP="006236B4">
      <w:pPr>
        <w:widowControl w:val="0"/>
        <w:numPr>
          <w:ilvl w:val="0"/>
          <w:numId w:val="5"/>
        </w:numPr>
        <w:rPr>
          <w:sz w:val="20"/>
          <w:szCs w:val="20"/>
        </w:rPr>
      </w:pPr>
      <w:r w:rsidRPr="005D15B2">
        <w:rPr>
          <w:sz w:val="20"/>
          <w:szCs w:val="20"/>
        </w:rPr>
        <w:t>Schwierigkeiten beim Ausfüllen.</w:t>
      </w:r>
    </w:p>
    <w:p w14:paraId="3807CB86" w14:textId="77777777" w:rsidR="006236B4" w:rsidRPr="005D15B2" w:rsidRDefault="006236B4" w:rsidP="006236B4">
      <w:pPr>
        <w:widowControl w:val="0"/>
        <w:numPr>
          <w:ilvl w:val="0"/>
          <w:numId w:val="5"/>
        </w:numPr>
        <w:rPr>
          <w:sz w:val="20"/>
          <w:szCs w:val="20"/>
        </w:rPr>
      </w:pPr>
      <w:r w:rsidRPr="005D15B2">
        <w:rPr>
          <w:sz w:val="20"/>
          <w:szCs w:val="20"/>
        </w:rPr>
        <w:t>Schwierigkeiten, die ohne Änderung des KVG-Solvenztests weiterhin auftreten werden.</w:t>
      </w:r>
    </w:p>
    <w:p w14:paraId="1E17ABF3" w14:textId="77777777" w:rsidR="006236B4" w:rsidRPr="005D15B2" w:rsidRDefault="006236B4" w:rsidP="006236B4">
      <w:pPr>
        <w:widowControl w:val="0"/>
        <w:numPr>
          <w:ilvl w:val="0"/>
          <w:numId w:val="5"/>
        </w:numPr>
        <w:rPr>
          <w:sz w:val="20"/>
          <w:szCs w:val="20"/>
          <w:lang w:val="en-US"/>
        </w:rPr>
      </w:pPr>
      <w:r w:rsidRPr="005D15B2">
        <w:rPr>
          <w:sz w:val="20"/>
          <w:szCs w:val="20"/>
          <w:lang w:val="en-US"/>
        </w:rPr>
        <w:t>Know-How-</w:t>
      </w:r>
      <w:proofErr w:type="spellStart"/>
      <w:r w:rsidRPr="005D15B2">
        <w:rPr>
          <w:sz w:val="20"/>
          <w:szCs w:val="20"/>
          <w:lang w:val="en-US"/>
        </w:rPr>
        <w:t>Probleme</w:t>
      </w:r>
      <w:proofErr w:type="spellEnd"/>
      <w:r w:rsidRPr="005D15B2">
        <w:rPr>
          <w:sz w:val="20"/>
          <w:szCs w:val="20"/>
          <w:lang w:val="en-US"/>
        </w:rPr>
        <w:t xml:space="preserve">, </w:t>
      </w:r>
      <w:proofErr w:type="spellStart"/>
      <w:r w:rsidRPr="005D15B2">
        <w:rPr>
          <w:sz w:val="20"/>
          <w:szCs w:val="20"/>
          <w:lang w:val="en-US"/>
        </w:rPr>
        <w:t>Aufwand</w:t>
      </w:r>
      <w:proofErr w:type="spellEnd"/>
      <w:r w:rsidRPr="005D15B2">
        <w:rPr>
          <w:sz w:val="20"/>
          <w:szCs w:val="20"/>
          <w:lang w:val="en-US"/>
        </w:rPr>
        <w:t>, etc.</w:t>
      </w:r>
    </w:p>
    <w:p w14:paraId="0D2C3BB5" w14:textId="77777777" w:rsidR="006236B4" w:rsidRPr="005D15B2" w:rsidRDefault="006236B4" w:rsidP="006236B4">
      <w:pPr>
        <w:widowControl w:val="0"/>
        <w:numPr>
          <w:ilvl w:val="0"/>
          <w:numId w:val="5"/>
        </w:numPr>
        <w:rPr>
          <w:sz w:val="20"/>
          <w:szCs w:val="20"/>
        </w:rPr>
      </w:pPr>
      <w:r w:rsidRPr="005D15B2">
        <w:rPr>
          <w:sz w:val="20"/>
          <w:szCs w:val="20"/>
        </w:rPr>
        <w:t>Abläufe, Zusammenarbeit mit dem BAG, etc.</w:t>
      </w:r>
    </w:p>
    <w:p w14:paraId="74FB4B98" w14:textId="77777777" w:rsidR="006236B4" w:rsidRPr="005D15B2" w:rsidRDefault="006236B4" w:rsidP="006236B4">
      <w:pPr>
        <w:widowControl w:val="0"/>
        <w:numPr>
          <w:ilvl w:val="0"/>
          <w:numId w:val="5"/>
        </w:numPr>
        <w:rPr>
          <w:sz w:val="20"/>
          <w:szCs w:val="20"/>
        </w:rPr>
      </w:pPr>
      <w:r w:rsidRPr="005D15B2">
        <w:rPr>
          <w:sz w:val="20"/>
          <w:szCs w:val="20"/>
        </w:rPr>
        <w:t>Mehrwert und neue Erkenntnisse für den Krankenversicherer aus dem KVG-Solvenztest.</w:t>
      </w:r>
    </w:p>
    <w:p w14:paraId="678FF2F0" w14:textId="77777777" w:rsidR="006236B4" w:rsidRPr="005D15B2" w:rsidRDefault="006236B4" w:rsidP="006236B4">
      <w:pPr>
        <w:widowControl w:val="0"/>
        <w:numPr>
          <w:ilvl w:val="0"/>
          <w:numId w:val="5"/>
        </w:numPr>
        <w:rPr>
          <w:sz w:val="20"/>
          <w:szCs w:val="20"/>
        </w:rPr>
      </w:pPr>
      <w:r w:rsidRPr="005D15B2">
        <w:rPr>
          <w:sz w:val="20"/>
          <w:szCs w:val="20"/>
        </w:rPr>
        <w:t xml:space="preserve">Festhalten, welche Funktionen (z.B. CFO) und/oder welcher Dienstleister (z.B. Bank, Aktuar) bei der Erstellung des ST-Berichts mitgewirkt haben. Beschreiben, welche Berechnungen die jeweilige Person bzw. Dienstleister durchgeführt hat. </w:t>
      </w:r>
    </w:p>
    <w:p w14:paraId="1867D09C" w14:textId="77777777" w:rsidR="006236B4" w:rsidRPr="005D15B2" w:rsidRDefault="006236B4" w:rsidP="006236B4">
      <w:pPr>
        <w:pStyle w:val="Heading2"/>
      </w:pPr>
      <w:r w:rsidRPr="005D15B2">
        <w:t>Methodische Bemerkungen</w:t>
      </w:r>
    </w:p>
    <w:p w14:paraId="61BAA7F8" w14:textId="77777777" w:rsidR="006236B4" w:rsidRPr="005D15B2" w:rsidRDefault="006236B4" w:rsidP="006236B4">
      <w:pPr>
        <w:rPr>
          <w:sz w:val="20"/>
          <w:szCs w:val="20"/>
        </w:rPr>
      </w:pPr>
      <w:r w:rsidRPr="005D15B2">
        <w:rPr>
          <w:sz w:val="20"/>
          <w:szCs w:val="20"/>
        </w:rPr>
        <w:t>Ihre Bemerkungen zur Methodik des KVG-Solvenztests.</w:t>
      </w:r>
    </w:p>
    <w:p w14:paraId="50CAB0E1" w14:textId="77777777" w:rsidR="006236B4" w:rsidRPr="005D15B2" w:rsidRDefault="006236B4" w:rsidP="006236B4">
      <w:pPr>
        <w:pStyle w:val="Heading1"/>
      </w:pPr>
      <w:r w:rsidRPr="005D15B2">
        <w:t>Anhänge</w:t>
      </w:r>
    </w:p>
    <w:p w14:paraId="0AF09523" w14:textId="77777777" w:rsidR="006236B4" w:rsidRPr="005D15B2" w:rsidRDefault="006236B4" w:rsidP="006236B4">
      <w:pPr>
        <w:rPr>
          <w:sz w:val="20"/>
          <w:szCs w:val="20"/>
        </w:rPr>
      </w:pPr>
      <w:bookmarkStart w:id="3" w:name="_Hlk124934548"/>
      <w:r w:rsidRPr="005D15B2">
        <w:rPr>
          <w:sz w:val="20"/>
          <w:szCs w:val="20"/>
        </w:rPr>
        <w:t xml:space="preserve">Auflistung </w:t>
      </w:r>
      <w:bookmarkEnd w:id="3"/>
      <w:r w:rsidRPr="005D15B2">
        <w:rPr>
          <w:sz w:val="20"/>
          <w:szCs w:val="20"/>
        </w:rPr>
        <w:t xml:space="preserve">(obligatorisch beizulegen: Blatt 39 </w:t>
      </w:r>
      <w:proofErr w:type="gramStart"/>
      <w:r w:rsidRPr="005D15B2">
        <w:rPr>
          <w:sz w:val="20"/>
          <w:szCs w:val="20"/>
        </w:rPr>
        <w:t>des Templates</w:t>
      </w:r>
      <w:proofErr w:type="gramEnd"/>
      <w:r w:rsidRPr="005D15B2">
        <w:rPr>
          <w:sz w:val="20"/>
          <w:szCs w:val="20"/>
        </w:rPr>
        <w:t>)</w:t>
      </w:r>
    </w:p>
    <w:p w14:paraId="4A961AAF" w14:textId="77777777" w:rsidR="006236B4" w:rsidRPr="005D15B2" w:rsidRDefault="006236B4" w:rsidP="006236B4">
      <w:pPr>
        <w:pStyle w:val="Heading1"/>
      </w:pPr>
      <w:r w:rsidRPr="005D15B2">
        <w:lastRenderedPageBreak/>
        <w:t>Bestätigung</w:t>
      </w:r>
    </w:p>
    <w:p w14:paraId="7B8A8389" w14:textId="77777777" w:rsidR="006236B4" w:rsidRPr="005D15B2" w:rsidRDefault="006236B4" w:rsidP="006236B4">
      <w:pPr>
        <w:rPr>
          <w:sz w:val="20"/>
          <w:szCs w:val="20"/>
        </w:rPr>
      </w:pPr>
      <w:r w:rsidRPr="005D15B2">
        <w:rPr>
          <w:sz w:val="20"/>
          <w:szCs w:val="20"/>
        </w:rPr>
        <w:t>z.B.:</w:t>
      </w:r>
    </w:p>
    <w:p w14:paraId="0BE5286B" w14:textId="77777777" w:rsidR="006236B4" w:rsidRPr="005D15B2" w:rsidRDefault="006236B4" w:rsidP="006236B4">
      <w:pPr>
        <w:rPr>
          <w:sz w:val="20"/>
          <w:szCs w:val="20"/>
        </w:rPr>
      </w:pPr>
    </w:p>
    <w:p w14:paraId="714C37E8" w14:textId="77777777" w:rsidR="006236B4" w:rsidRPr="005D15B2" w:rsidRDefault="006236B4" w:rsidP="006236B4">
      <w:pPr>
        <w:rPr>
          <w:sz w:val="20"/>
          <w:szCs w:val="20"/>
        </w:rPr>
      </w:pPr>
      <w:r w:rsidRPr="005D15B2">
        <w:rPr>
          <w:sz w:val="20"/>
          <w:szCs w:val="20"/>
        </w:rPr>
        <w:t>Wir versichern, den KVG-Solvenztest des aktuellen Geschäftsjahres korrekt und unter Einhaltung der Bestimmungen der Wegleitung des BAG ausgefüllt zu haben. Das eingereichte Excel-Template ist integraler Bestandteil dieses Berichts; wir haben darin keine Änderungen, die nicht im vorliegenden Bericht beschrieben sind, vorgenommen.</w:t>
      </w:r>
    </w:p>
    <w:p w14:paraId="1409B17A" w14:textId="77777777" w:rsidR="006236B4" w:rsidRPr="005D15B2" w:rsidRDefault="006236B4" w:rsidP="006236B4">
      <w:pPr>
        <w:rPr>
          <w:sz w:val="20"/>
          <w:szCs w:val="20"/>
        </w:rPr>
      </w:pPr>
    </w:p>
    <w:p w14:paraId="52EA41E7" w14:textId="77777777" w:rsidR="006236B4" w:rsidRPr="005D15B2" w:rsidRDefault="006236B4" w:rsidP="006236B4">
      <w:pPr>
        <w:rPr>
          <w:sz w:val="20"/>
          <w:szCs w:val="20"/>
        </w:rPr>
      </w:pPr>
    </w:p>
    <w:p w14:paraId="7FEF17AD" w14:textId="77777777" w:rsidR="006236B4" w:rsidRPr="005D15B2" w:rsidRDefault="006236B4" w:rsidP="006236B4">
      <w:pPr>
        <w:rPr>
          <w:sz w:val="20"/>
          <w:szCs w:val="20"/>
        </w:rPr>
      </w:pPr>
      <w:r w:rsidRPr="005D15B2">
        <w:rPr>
          <w:sz w:val="20"/>
          <w:szCs w:val="20"/>
        </w:rPr>
        <w:t>Ort, Datum</w:t>
      </w:r>
    </w:p>
    <w:p w14:paraId="126C431C" w14:textId="77777777" w:rsidR="006236B4" w:rsidRPr="005D15B2" w:rsidRDefault="006236B4" w:rsidP="006236B4">
      <w:pPr>
        <w:rPr>
          <w:sz w:val="20"/>
          <w:szCs w:val="20"/>
        </w:rPr>
      </w:pPr>
    </w:p>
    <w:p w14:paraId="5E573501" w14:textId="77777777" w:rsidR="006236B4" w:rsidRPr="00711360" w:rsidRDefault="006236B4" w:rsidP="006236B4">
      <w:pPr>
        <w:rPr>
          <w:sz w:val="20"/>
          <w:szCs w:val="20"/>
        </w:rPr>
      </w:pPr>
      <w:r w:rsidRPr="005D15B2">
        <w:rPr>
          <w:sz w:val="20"/>
          <w:szCs w:val="20"/>
        </w:rPr>
        <w:t>(Unterschriften von zwei Mitgliedern der Geschäftsleitung oder des Verwaltungsrats)</w:t>
      </w:r>
    </w:p>
    <w:p w14:paraId="52994B2B" w14:textId="77777777" w:rsidR="006236B4" w:rsidRPr="00711360" w:rsidRDefault="006236B4" w:rsidP="006236B4">
      <w:pPr>
        <w:rPr>
          <w:sz w:val="20"/>
          <w:szCs w:val="20"/>
        </w:rPr>
      </w:pPr>
    </w:p>
    <w:tbl>
      <w:tblPr>
        <w:tblW w:w="851" w:type="dxa"/>
        <w:tblLayout w:type="fixed"/>
        <w:tblCellMar>
          <w:left w:w="0" w:type="dxa"/>
          <w:right w:w="0" w:type="dxa"/>
        </w:tblCellMar>
        <w:tblLook w:val="01E0" w:firstRow="1" w:lastRow="1" w:firstColumn="1" w:lastColumn="1" w:noHBand="0" w:noVBand="0"/>
      </w:tblPr>
      <w:tblGrid>
        <w:gridCol w:w="397"/>
        <w:gridCol w:w="454"/>
      </w:tblGrid>
      <w:tr w:rsidR="006236B4" w:rsidRPr="00711360" w14:paraId="129DCC96" w14:textId="77777777" w:rsidTr="00CB694C">
        <w:trPr>
          <w:cantSplit/>
        </w:trPr>
        <w:tc>
          <w:tcPr>
            <w:tcW w:w="397" w:type="dxa"/>
          </w:tcPr>
          <w:p w14:paraId="5DE5885C" w14:textId="77777777" w:rsidR="006236B4" w:rsidRPr="00711360" w:rsidRDefault="006236B4" w:rsidP="00CB694C">
            <w:pPr>
              <w:pStyle w:val="Referenz"/>
              <w:rPr>
                <w:b/>
                <w:bCs/>
                <w:sz w:val="20"/>
                <w:szCs w:val="20"/>
              </w:rPr>
            </w:pPr>
          </w:p>
        </w:tc>
        <w:tc>
          <w:tcPr>
            <w:tcW w:w="454" w:type="dxa"/>
          </w:tcPr>
          <w:p w14:paraId="49AD2629" w14:textId="77777777" w:rsidR="006236B4" w:rsidRPr="00711360" w:rsidRDefault="006236B4" w:rsidP="00CB694C">
            <w:pPr>
              <w:pStyle w:val="Referenz"/>
              <w:rPr>
                <w:rStyle w:val="PageNumber"/>
                <w:b/>
                <w:bCs/>
                <w:sz w:val="20"/>
                <w:szCs w:val="20"/>
              </w:rPr>
            </w:pPr>
          </w:p>
        </w:tc>
      </w:tr>
      <w:tr w:rsidR="006236B4" w:rsidRPr="00711360" w14:paraId="03907ADF" w14:textId="77777777" w:rsidTr="00CB694C">
        <w:trPr>
          <w:cantSplit/>
        </w:trPr>
        <w:tc>
          <w:tcPr>
            <w:tcW w:w="397" w:type="dxa"/>
          </w:tcPr>
          <w:p w14:paraId="4ABE5A3A" w14:textId="77777777" w:rsidR="006236B4" w:rsidRPr="00711360" w:rsidRDefault="006236B4" w:rsidP="00CB694C">
            <w:pPr>
              <w:pStyle w:val="Referenz"/>
              <w:rPr>
                <w:sz w:val="20"/>
                <w:szCs w:val="20"/>
              </w:rPr>
            </w:pPr>
          </w:p>
        </w:tc>
        <w:tc>
          <w:tcPr>
            <w:tcW w:w="454" w:type="dxa"/>
          </w:tcPr>
          <w:p w14:paraId="039844B5" w14:textId="77777777" w:rsidR="006236B4" w:rsidRPr="00711360" w:rsidRDefault="006236B4" w:rsidP="00CB694C">
            <w:pPr>
              <w:pStyle w:val="Referenz"/>
              <w:rPr>
                <w:rStyle w:val="PageNumber"/>
                <w:sz w:val="20"/>
                <w:szCs w:val="20"/>
              </w:rPr>
            </w:pPr>
          </w:p>
        </w:tc>
      </w:tr>
    </w:tbl>
    <w:p w14:paraId="58C66971" w14:textId="77777777" w:rsidR="006236B4" w:rsidRPr="00711360" w:rsidRDefault="006236B4" w:rsidP="006236B4">
      <w:pPr>
        <w:rPr>
          <w:sz w:val="20"/>
          <w:szCs w:val="20"/>
        </w:rPr>
      </w:pPr>
    </w:p>
    <w:p w14:paraId="4EC8093D" w14:textId="3DF7F7D4" w:rsidR="00BC0B88" w:rsidRDefault="00BC0B88" w:rsidP="00231DA2">
      <w:pPr>
        <w:rPr>
          <w:sz w:val="20"/>
          <w:szCs w:val="20"/>
        </w:rPr>
      </w:pPr>
    </w:p>
    <w:p w14:paraId="5E22A876" w14:textId="77777777" w:rsidR="00BC0B88" w:rsidRPr="00BC0B88" w:rsidRDefault="00BC0B88" w:rsidP="00BC0B88">
      <w:pPr>
        <w:rPr>
          <w:sz w:val="20"/>
          <w:szCs w:val="20"/>
        </w:rPr>
      </w:pPr>
    </w:p>
    <w:p w14:paraId="561A5100" w14:textId="77777777" w:rsidR="00BC0B88" w:rsidRPr="00BC0B88" w:rsidRDefault="00BC0B88" w:rsidP="00BC0B88">
      <w:pPr>
        <w:rPr>
          <w:sz w:val="20"/>
          <w:szCs w:val="20"/>
        </w:rPr>
      </w:pPr>
    </w:p>
    <w:p w14:paraId="508420C2" w14:textId="77777777" w:rsidR="00BC0B88" w:rsidRPr="00BC0B88" w:rsidRDefault="00BC0B88" w:rsidP="00BC0B88">
      <w:pPr>
        <w:rPr>
          <w:sz w:val="20"/>
          <w:szCs w:val="20"/>
        </w:rPr>
      </w:pPr>
    </w:p>
    <w:p w14:paraId="54F559E4" w14:textId="77777777" w:rsidR="00BC0B88" w:rsidRPr="00BC0B88" w:rsidRDefault="00BC0B88" w:rsidP="00BC0B88">
      <w:pPr>
        <w:rPr>
          <w:sz w:val="20"/>
          <w:szCs w:val="20"/>
        </w:rPr>
      </w:pPr>
    </w:p>
    <w:p w14:paraId="35DFB323" w14:textId="77777777" w:rsidR="00BC0B88" w:rsidRPr="00BC0B88" w:rsidRDefault="00BC0B88" w:rsidP="00BC0B88">
      <w:pPr>
        <w:rPr>
          <w:sz w:val="20"/>
          <w:szCs w:val="20"/>
        </w:rPr>
      </w:pPr>
    </w:p>
    <w:p w14:paraId="1F1B32C3" w14:textId="77777777" w:rsidR="00BC0B88" w:rsidRPr="00BC0B88" w:rsidRDefault="00BC0B88" w:rsidP="00BC0B88">
      <w:pPr>
        <w:rPr>
          <w:sz w:val="20"/>
          <w:szCs w:val="20"/>
        </w:rPr>
      </w:pPr>
    </w:p>
    <w:p w14:paraId="04884619" w14:textId="77777777" w:rsidR="00BC0B88" w:rsidRPr="00BC0B88" w:rsidRDefault="00BC0B88" w:rsidP="00BC0B88">
      <w:pPr>
        <w:rPr>
          <w:sz w:val="20"/>
          <w:szCs w:val="20"/>
        </w:rPr>
      </w:pPr>
    </w:p>
    <w:p w14:paraId="4375B97D" w14:textId="77777777" w:rsidR="00BC0B88" w:rsidRPr="00BC0B88" w:rsidRDefault="00BC0B88" w:rsidP="00BC0B88">
      <w:pPr>
        <w:rPr>
          <w:sz w:val="20"/>
          <w:szCs w:val="20"/>
        </w:rPr>
      </w:pPr>
    </w:p>
    <w:p w14:paraId="0AAE6D96" w14:textId="77777777" w:rsidR="00BC0B88" w:rsidRPr="00BC0B88" w:rsidRDefault="00BC0B88" w:rsidP="00BC0B88">
      <w:pPr>
        <w:rPr>
          <w:sz w:val="20"/>
          <w:szCs w:val="20"/>
        </w:rPr>
      </w:pPr>
    </w:p>
    <w:p w14:paraId="2ACC3883" w14:textId="77777777" w:rsidR="00BC0B88" w:rsidRPr="00BC0B88" w:rsidRDefault="00BC0B88" w:rsidP="00BC0B88">
      <w:pPr>
        <w:rPr>
          <w:sz w:val="20"/>
          <w:szCs w:val="20"/>
        </w:rPr>
      </w:pPr>
    </w:p>
    <w:p w14:paraId="6CEB4446" w14:textId="5ABF6FE7" w:rsidR="00BC0B88" w:rsidRDefault="00BC0B88" w:rsidP="00BC0B88">
      <w:pPr>
        <w:rPr>
          <w:sz w:val="20"/>
          <w:szCs w:val="20"/>
        </w:rPr>
      </w:pPr>
    </w:p>
    <w:p w14:paraId="7D34DBB0" w14:textId="08E37607" w:rsidR="009F7E42" w:rsidRPr="00BC0B88" w:rsidRDefault="00BC0B88" w:rsidP="00BC0B88">
      <w:pPr>
        <w:tabs>
          <w:tab w:val="left" w:pos="3408"/>
        </w:tabs>
        <w:rPr>
          <w:sz w:val="20"/>
          <w:szCs w:val="20"/>
        </w:rPr>
      </w:pPr>
      <w:r>
        <w:rPr>
          <w:sz w:val="20"/>
          <w:szCs w:val="20"/>
        </w:rPr>
        <w:tab/>
      </w:r>
    </w:p>
    <w:sectPr w:rsidR="009F7E42" w:rsidRPr="00BC0B88" w:rsidSect="00A940A5">
      <w:headerReference w:type="default" r:id="rId8"/>
      <w:footerReference w:type="default" r:id="rId9"/>
      <w:headerReference w:type="first" r:id="rId10"/>
      <w:footerReference w:type="first" r:id="rId11"/>
      <w:pgSz w:w="11906" w:h="16838" w:code="9"/>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4BBCD" w14:textId="77777777" w:rsidR="00171DF6" w:rsidRDefault="00171DF6">
      <w:pPr>
        <w:spacing w:line="240" w:lineRule="auto"/>
      </w:pPr>
      <w:r>
        <w:separator/>
      </w:r>
    </w:p>
  </w:endnote>
  <w:endnote w:type="continuationSeparator" w:id="0">
    <w:p w14:paraId="06F0316E" w14:textId="77777777" w:rsidR="00171DF6" w:rsidRDefault="00171D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51606" w14:textId="04BF5C68" w:rsidR="0092302B" w:rsidRPr="00D84F1A" w:rsidRDefault="00552038" w:rsidP="00740F76">
    <w:pPr>
      <w:pStyle w:val="Footer"/>
      <w:tabs>
        <w:tab w:val="center" w:pos="4536"/>
        <w:tab w:val="right" w:pos="9639"/>
      </w:tabs>
      <w:ind w:right="-1"/>
      <w:rPr>
        <w:sz w:val="15"/>
        <w:szCs w:val="15"/>
      </w:rPr>
    </w:pPr>
    <w:r w:rsidRPr="004542E3">
      <w:rPr>
        <w:sz w:val="15"/>
        <w:szCs w:val="15"/>
      </w:rPr>
      <w:t>Bericht</w:t>
    </w:r>
    <w:r>
      <w:rPr>
        <w:sz w:val="15"/>
        <w:szCs w:val="15"/>
      </w:rPr>
      <w:t>svorlage zum KVG-Solvenztest</w:t>
    </w:r>
    <w:r w:rsidRPr="004542E3">
      <w:rPr>
        <w:sz w:val="15"/>
        <w:szCs w:val="15"/>
      </w:rPr>
      <w:t xml:space="preserve"> </w:t>
    </w:r>
    <w:r w:rsidR="00D96D41">
      <w:rPr>
        <w:noProof/>
        <w:sz w:val="15"/>
        <w:szCs w:val="15"/>
      </w:rPr>
      <w:t>202</w:t>
    </w:r>
    <w:r w:rsidR="00762946">
      <w:rPr>
        <w:noProof/>
        <w:sz w:val="15"/>
        <w:szCs w:val="15"/>
      </w:rPr>
      <w:t>5</w:t>
    </w:r>
    <w:r w:rsidR="006236B4" w:rsidRPr="00656C4B">
      <w:rPr>
        <w:sz w:val="15"/>
        <w:szCs w:val="15"/>
      </w:rPr>
      <w:tab/>
    </w:r>
    <w:r w:rsidR="006236B4" w:rsidRPr="00D84F1A">
      <w:rPr>
        <w:sz w:val="15"/>
        <w:szCs w:val="15"/>
      </w:rPr>
      <w:tab/>
    </w:r>
    <w:r w:rsidR="006236B4" w:rsidRPr="00D84F1A">
      <w:rPr>
        <w:sz w:val="15"/>
        <w:szCs w:val="15"/>
      </w:rPr>
      <w:fldChar w:fldCharType="begin"/>
    </w:r>
    <w:r w:rsidR="006236B4" w:rsidRPr="00D84F1A">
      <w:rPr>
        <w:sz w:val="15"/>
        <w:szCs w:val="15"/>
      </w:rPr>
      <w:instrText xml:space="preserve"> PAGE  \* Arabic  \* MERGEFORMAT </w:instrText>
    </w:r>
    <w:r w:rsidR="006236B4" w:rsidRPr="00D84F1A">
      <w:rPr>
        <w:sz w:val="15"/>
        <w:szCs w:val="15"/>
      </w:rPr>
      <w:fldChar w:fldCharType="separate"/>
    </w:r>
    <w:r w:rsidR="00552715">
      <w:rPr>
        <w:noProof/>
        <w:sz w:val="15"/>
        <w:szCs w:val="15"/>
      </w:rPr>
      <w:t>9</w:t>
    </w:r>
    <w:r w:rsidR="006236B4" w:rsidRPr="00D84F1A">
      <w:rPr>
        <w:sz w:val="15"/>
        <w:szCs w:val="15"/>
      </w:rPr>
      <w:fldChar w:fldCharType="end"/>
    </w:r>
    <w:r w:rsidR="006236B4" w:rsidRPr="00D84F1A">
      <w:rPr>
        <w:sz w:val="15"/>
        <w:szCs w:val="15"/>
      </w:rPr>
      <w:t>/</w:t>
    </w:r>
    <w:r w:rsidR="006236B4" w:rsidRPr="00D84F1A">
      <w:rPr>
        <w:sz w:val="15"/>
        <w:szCs w:val="15"/>
      </w:rPr>
      <w:fldChar w:fldCharType="begin"/>
    </w:r>
    <w:r w:rsidR="006236B4" w:rsidRPr="00D84F1A">
      <w:rPr>
        <w:sz w:val="15"/>
        <w:szCs w:val="15"/>
      </w:rPr>
      <w:instrText xml:space="preserve"> NUMPAGES  \# "0" \* Arabic  \* MERGEFORMAT </w:instrText>
    </w:r>
    <w:r w:rsidR="006236B4" w:rsidRPr="00D84F1A">
      <w:rPr>
        <w:sz w:val="15"/>
        <w:szCs w:val="15"/>
      </w:rPr>
      <w:fldChar w:fldCharType="separate"/>
    </w:r>
    <w:r w:rsidR="00552715">
      <w:rPr>
        <w:noProof/>
        <w:sz w:val="15"/>
        <w:szCs w:val="15"/>
      </w:rPr>
      <w:t>9</w:t>
    </w:r>
    <w:r w:rsidR="006236B4" w:rsidRPr="00D84F1A">
      <w:rPr>
        <w:sz w:val="15"/>
        <w:szCs w:val="15"/>
      </w:rPr>
      <w:fldChar w:fldCharType="end"/>
    </w:r>
  </w:p>
  <w:p w14:paraId="7B3AAAFC" w14:textId="77777777" w:rsidR="0092302B" w:rsidRPr="006C3C41" w:rsidRDefault="00171DF6" w:rsidP="006C3C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F7452" w14:textId="3C48B58F" w:rsidR="0092302B" w:rsidRPr="006A5185" w:rsidRDefault="00695D82" w:rsidP="00740F76">
    <w:pPr>
      <w:pStyle w:val="Footer"/>
      <w:tabs>
        <w:tab w:val="center" w:pos="4536"/>
        <w:tab w:val="right" w:pos="9639"/>
      </w:tabs>
      <w:ind w:right="-1"/>
      <w:rPr>
        <w:sz w:val="15"/>
        <w:szCs w:val="15"/>
      </w:rPr>
    </w:pPr>
    <w:r w:rsidRPr="004542E3">
      <w:rPr>
        <w:sz w:val="15"/>
        <w:szCs w:val="15"/>
      </w:rPr>
      <w:t>Bericht</w:t>
    </w:r>
    <w:r w:rsidR="00552038">
      <w:rPr>
        <w:sz w:val="15"/>
        <w:szCs w:val="15"/>
      </w:rPr>
      <w:t>svorlage zum KVG-Solvenztest</w:t>
    </w:r>
    <w:r w:rsidRPr="004542E3">
      <w:rPr>
        <w:sz w:val="15"/>
        <w:szCs w:val="15"/>
      </w:rPr>
      <w:t xml:space="preserve"> </w:t>
    </w:r>
    <w:r w:rsidR="00546187">
      <w:rPr>
        <w:sz w:val="15"/>
        <w:szCs w:val="15"/>
      </w:rPr>
      <w:t>202</w:t>
    </w:r>
    <w:r w:rsidR="008535D1">
      <w:rPr>
        <w:sz w:val="15"/>
        <w:szCs w:val="15"/>
      </w:rPr>
      <w:t>5</w:t>
    </w:r>
    <w:r w:rsidR="006236B4" w:rsidRPr="006A5185">
      <w:rPr>
        <w:sz w:val="15"/>
        <w:szCs w:val="15"/>
      </w:rPr>
      <w:tab/>
    </w:r>
    <w:r w:rsidR="006236B4" w:rsidRPr="004542E3">
      <w:rPr>
        <w:sz w:val="15"/>
        <w:szCs w:val="15"/>
      </w:rPr>
      <w:fldChar w:fldCharType="begin"/>
    </w:r>
    <w:r w:rsidR="006236B4" w:rsidRPr="006A5185">
      <w:rPr>
        <w:sz w:val="15"/>
        <w:szCs w:val="15"/>
      </w:rPr>
      <w:instrText xml:space="preserve"> PAGE  \* Arabic  \* MERGEFORMAT </w:instrText>
    </w:r>
    <w:r w:rsidR="006236B4" w:rsidRPr="004542E3">
      <w:rPr>
        <w:sz w:val="15"/>
        <w:szCs w:val="15"/>
      </w:rPr>
      <w:fldChar w:fldCharType="separate"/>
    </w:r>
    <w:r w:rsidR="00552715" w:rsidRPr="006A5185">
      <w:rPr>
        <w:noProof/>
        <w:sz w:val="15"/>
        <w:szCs w:val="15"/>
      </w:rPr>
      <w:t>1</w:t>
    </w:r>
    <w:r w:rsidR="006236B4" w:rsidRPr="004542E3">
      <w:rPr>
        <w:sz w:val="15"/>
        <w:szCs w:val="15"/>
      </w:rPr>
      <w:fldChar w:fldCharType="end"/>
    </w:r>
    <w:r w:rsidR="006236B4" w:rsidRPr="006A5185">
      <w:rPr>
        <w:sz w:val="15"/>
        <w:szCs w:val="15"/>
      </w:rPr>
      <w:t>/</w:t>
    </w:r>
    <w:r w:rsidR="006236B4" w:rsidRPr="004542E3">
      <w:rPr>
        <w:sz w:val="15"/>
        <w:szCs w:val="15"/>
      </w:rPr>
      <w:fldChar w:fldCharType="begin"/>
    </w:r>
    <w:r w:rsidR="006236B4" w:rsidRPr="006A5185">
      <w:rPr>
        <w:sz w:val="15"/>
        <w:szCs w:val="15"/>
      </w:rPr>
      <w:instrText xml:space="preserve"> NUMPAGES  \# "0" \* Arabic  \* MERGEFORMAT </w:instrText>
    </w:r>
    <w:r w:rsidR="006236B4" w:rsidRPr="004542E3">
      <w:rPr>
        <w:sz w:val="15"/>
        <w:szCs w:val="15"/>
      </w:rPr>
      <w:fldChar w:fldCharType="separate"/>
    </w:r>
    <w:r w:rsidR="00552715" w:rsidRPr="006A5185">
      <w:rPr>
        <w:noProof/>
        <w:sz w:val="15"/>
        <w:szCs w:val="15"/>
      </w:rPr>
      <w:t>9</w:t>
    </w:r>
    <w:r w:rsidR="006236B4" w:rsidRPr="004542E3">
      <w:rPr>
        <w:sz w:val="15"/>
        <w:szCs w:val="15"/>
      </w:rPr>
      <w:fldChar w:fldCharType="end"/>
    </w:r>
  </w:p>
  <w:p w14:paraId="3CBE6646" w14:textId="77777777" w:rsidR="0092302B" w:rsidRPr="00A51B73" w:rsidRDefault="00171DF6" w:rsidP="00A51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E8285" w14:textId="77777777" w:rsidR="00171DF6" w:rsidRDefault="00171DF6">
      <w:pPr>
        <w:spacing w:line="240" w:lineRule="auto"/>
      </w:pPr>
      <w:r>
        <w:separator/>
      </w:r>
    </w:p>
  </w:footnote>
  <w:footnote w:type="continuationSeparator" w:id="0">
    <w:p w14:paraId="2F8DE55D" w14:textId="77777777" w:rsidR="00171DF6" w:rsidRDefault="00171D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9287"/>
    </w:tblGrid>
    <w:tr w:rsidR="0092302B" w:rsidRPr="00142C01" w14:paraId="332C1E1E" w14:textId="77777777" w:rsidTr="00200286">
      <w:trPr>
        <w:cantSplit/>
        <w:trHeight w:hRule="exact" w:val="400"/>
      </w:trPr>
      <w:tc>
        <w:tcPr>
          <w:tcW w:w="9287" w:type="dxa"/>
        </w:tcPr>
        <w:p w14:paraId="298D7772" w14:textId="77777777" w:rsidR="0092302B" w:rsidRPr="00142C01" w:rsidRDefault="00171DF6" w:rsidP="005516E5"/>
      </w:tc>
    </w:tr>
  </w:tbl>
  <w:p w14:paraId="3E8C263C" w14:textId="77777777" w:rsidR="0092302B" w:rsidRDefault="00171DF6" w:rsidP="005516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66" w:type="dxa"/>
      <w:tblInd w:w="-595" w:type="dxa"/>
      <w:tblLayout w:type="fixed"/>
      <w:tblCellMar>
        <w:left w:w="107" w:type="dxa"/>
        <w:right w:w="107" w:type="dxa"/>
      </w:tblCellMar>
      <w:tblLook w:val="0600" w:firstRow="0" w:lastRow="0" w:firstColumn="0" w:lastColumn="0" w:noHBand="1" w:noVBand="1"/>
    </w:tblPr>
    <w:tblGrid>
      <w:gridCol w:w="4848"/>
      <w:gridCol w:w="5318"/>
    </w:tblGrid>
    <w:tr w:rsidR="0092302B" w:rsidRPr="00142C01" w14:paraId="7CE17CEB" w14:textId="77777777" w:rsidTr="00142C01">
      <w:trPr>
        <w:cantSplit/>
        <w:trHeight w:hRule="exact" w:val="1800"/>
      </w:trPr>
      <w:tc>
        <w:tcPr>
          <w:tcW w:w="4848" w:type="dxa"/>
        </w:tcPr>
        <w:p w14:paraId="6A1B5F92" w14:textId="77777777" w:rsidR="0092302B" w:rsidRPr="00142C01" w:rsidRDefault="006236B4" w:rsidP="005516E5">
          <w:pPr>
            <w:pStyle w:val="Header"/>
            <w:rPr>
              <w:szCs w:val="20"/>
            </w:rPr>
          </w:pPr>
          <w:r>
            <w:rPr>
              <w:noProof/>
              <w:szCs w:val="20"/>
              <w:lang w:eastAsia="de-CH"/>
            </w:rPr>
            <w:drawing>
              <wp:inline distT="0" distB="0" distL="0" distR="0" wp14:anchorId="08798CD4" wp14:editId="3A1C65CD">
                <wp:extent cx="1978660" cy="648335"/>
                <wp:effectExtent l="19050" t="0" r="2540" b="0"/>
                <wp:docPr id="2" name="Grafik 0" descr="Logo_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Logo_sw.gif"/>
                        <pic:cNvPicPr>
                          <a:picLocks noChangeAspect="1" noChangeArrowheads="1"/>
                        </pic:cNvPicPr>
                      </pic:nvPicPr>
                      <pic:blipFill>
                        <a:blip r:embed="rId1"/>
                        <a:srcRect/>
                        <a:stretch>
                          <a:fillRect/>
                        </a:stretch>
                      </pic:blipFill>
                      <pic:spPr bwMode="auto">
                        <a:xfrm>
                          <a:off x="0" y="0"/>
                          <a:ext cx="1978660" cy="648335"/>
                        </a:xfrm>
                        <a:prstGeom prst="rect">
                          <a:avLst/>
                        </a:prstGeom>
                        <a:noFill/>
                        <a:ln w="9525">
                          <a:noFill/>
                          <a:miter lim="800000"/>
                          <a:headEnd/>
                          <a:tailEnd/>
                        </a:ln>
                      </pic:spPr>
                    </pic:pic>
                  </a:graphicData>
                </a:graphic>
              </wp:inline>
            </w:drawing>
          </w:r>
        </w:p>
        <w:p w14:paraId="372E4632" w14:textId="77777777" w:rsidR="0092302B" w:rsidRPr="00142C01" w:rsidRDefault="00171DF6" w:rsidP="000709AD">
          <w:pPr>
            <w:pStyle w:val="Header"/>
            <w:rPr>
              <w:szCs w:val="20"/>
            </w:rPr>
          </w:pPr>
        </w:p>
      </w:tc>
      <w:tc>
        <w:tcPr>
          <w:tcW w:w="5318" w:type="dxa"/>
        </w:tcPr>
        <w:p w14:paraId="0547C40F" w14:textId="77777777" w:rsidR="0092302B" w:rsidRPr="00142C01" w:rsidRDefault="006236B4" w:rsidP="00F00301">
          <w:pPr>
            <w:pStyle w:val="KopfzeileDepartement"/>
            <w:rPr>
              <w:szCs w:val="20"/>
            </w:rPr>
          </w:pPr>
          <w:r w:rsidRPr="00142C01">
            <w:rPr>
              <w:szCs w:val="20"/>
            </w:rPr>
            <w:t>Eidgenössisches Departement des Innern EDI</w:t>
          </w:r>
        </w:p>
        <w:p w14:paraId="2D392966" w14:textId="77777777" w:rsidR="0092302B" w:rsidRPr="00142C01" w:rsidRDefault="006236B4" w:rsidP="00F00301">
          <w:pPr>
            <w:pStyle w:val="KopfzeileFett"/>
            <w:rPr>
              <w:szCs w:val="20"/>
            </w:rPr>
          </w:pPr>
          <w:r w:rsidRPr="00142C01">
            <w:rPr>
              <w:szCs w:val="20"/>
            </w:rPr>
            <w:t>Bundesamt für Gesundheit BAG</w:t>
          </w:r>
        </w:p>
        <w:p w14:paraId="04F5FF81" w14:textId="77777777" w:rsidR="0092302B" w:rsidRPr="00142C01" w:rsidRDefault="006236B4" w:rsidP="00F00301">
          <w:pPr>
            <w:pStyle w:val="Header"/>
            <w:rPr>
              <w:noProof/>
              <w:szCs w:val="20"/>
            </w:rPr>
          </w:pPr>
          <w:r w:rsidRPr="00142C01">
            <w:rPr>
              <w:noProof/>
              <w:szCs w:val="20"/>
            </w:rPr>
            <w:t>Direktionsbereich Kranken- und Unfallversicherung</w:t>
          </w:r>
        </w:p>
        <w:p w14:paraId="6C57BC58" w14:textId="77777777" w:rsidR="0092302B" w:rsidRPr="00142C01" w:rsidRDefault="00171DF6" w:rsidP="00F00301">
          <w:pPr>
            <w:pStyle w:val="Header"/>
            <w:rPr>
              <w:szCs w:val="20"/>
            </w:rPr>
          </w:pPr>
        </w:p>
      </w:tc>
    </w:tr>
  </w:tbl>
  <w:p w14:paraId="7182346F" w14:textId="77777777" w:rsidR="0092302B" w:rsidRPr="00FA2901" w:rsidRDefault="00171DF6" w:rsidP="00E97061">
    <w:pPr>
      <w:pStyle w:val="Head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6EFD"/>
    <w:multiLevelType w:val="hybridMultilevel"/>
    <w:tmpl w:val="9B02103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38816DB"/>
    <w:multiLevelType w:val="multilevel"/>
    <w:tmpl w:val="735C055E"/>
    <w:lvl w:ilvl="0">
      <w:start w:val="1"/>
      <w:numFmt w:val="decimal"/>
      <w:pStyle w:val="Heading1"/>
      <w:lvlText w:val="%1"/>
      <w:lvlJc w:val="left"/>
      <w:pPr>
        <w:ind w:left="432" w:hanging="432"/>
      </w:pPr>
    </w:lvl>
    <w:lvl w:ilvl="1">
      <w:start w:val="1"/>
      <w:numFmt w:val="decimal"/>
      <w:pStyle w:val="Heading2"/>
      <w:lvlText w:val="%1.%2"/>
      <w:lvlJc w:val="left"/>
      <w:pPr>
        <w:ind w:left="8798" w:hanging="576"/>
      </w:pPr>
    </w:lvl>
    <w:lvl w:ilvl="2">
      <w:start w:val="1"/>
      <w:numFmt w:val="decimal"/>
      <w:pStyle w:val="Heading3"/>
      <w:lvlText w:val="%1.%2.%3"/>
      <w:lvlJc w:val="left"/>
      <w:pPr>
        <w:ind w:left="4831" w:hanging="720"/>
      </w:pPr>
      <w:rPr>
        <w:b/>
        <w:bCs/>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5CC0A4A"/>
    <w:multiLevelType w:val="hybridMultilevel"/>
    <w:tmpl w:val="6ACC946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8A02344"/>
    <w:multiLevelType w:val="hybridMultilevel"/>
    <w:tmpl w:val="47A26A1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4721015"/>
    <w:multiLevelType w:val="hybridMultilevel"/>
    <w:tmpl w:val="5888EC5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AC525ED"/>
    <w:multiLevelType w:val="hybridMultilevel"/>
    <w:tmpl w:val="B1A82A0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42610D4"/>
    <w:multiLevelType w:val="hybridMultilevel"/>
    <w:tmpl w:val="7A2A3226"/>
    <w:lvl w:ilvl="0" w:tplc="BC3CC28E">
      <w:numFmt w:val="bullet"/>
      <w:lvlText w:val="-"/>
      <w:lvlJc w:val="left"/>
      <w:pPr>
        <w:ind w:left="1080" w:hanging="360"/>
      </w:pPr>
      <w:rPr>
        <w:rFonts w:ascii="Arial" w:eastAsia="Times New Roman" w:hAnsi="Arial" w:cs="Arial" w:hint="default"/>
      </w:rPr>
    </w:lvl>
    <w:lvl w:ilvl="1" w:tplc="08070003">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7" w15:restartNumberingAfterBreak="0">
    <w:nsid w:val="2DFD04CA"/>
    <w:multiLevelType w:val="hybridMultilevel"/>
    <w:tmpl w:val="F714605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5A40DBE"/>
    <w:multiLevelType w:val="hybridMultilevel"/>
    <w:tmpl w:val="F3A2173E"/>
    <w:lvl w:ilvl="0" w:tplc="66A6885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994796B"/>
    <w:multiLevelType w:val="hybridMultilevel"/>
    <w:tmpl w:val="893AF1C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5077209E"/>
    <w:multiLevelType w:val="hybridMultilevel"/>
    <w:tmpl w:val="0020029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6E130E9"/>
    <w:multiLevelType w:val="hybridMultilevel"/>
    <w:tmpl w:val="DAAC9F32"/>
    <w:lvl w:ilvl="0" w:tplc="E0604F18">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8F628A6"/>
    <w:multiLevelType w:val="hybridMultilevel"/>
    <w:tmpl w:val="7602C076"/>
    <w:lvl w:ilvl="0" w:tplc="1E88960A">
      <w:start w:val="1"/>
      <w:numFmt w:val="bullet"/>
      <w:lvlText w:val=""/>
      <w:lvlJc w:val="left"/>
      <w:pPr>
        <w:ind w:left="405" w:hanging="360"/>
      </w:pPr>
      <w:rPr>
        <w:rFonts w:ascii="Wingdings" w:eastAsia="Calibri" w:hAnsi="Wingdings" w:cs="Arial" w:hint="default"/>
      </w:rPr>
    </w:lvl>
    <w:lvl w:ilvl="1" w:tplc="08070003" w:tentative="1">
      <w:start w:val="1"/>
      <w:numFmt w:val="bullet"/>
      <w:lvlText w:val="o"/>
      <w:lvlJc w:val="left"/>
      <w:pPr>
        <w:ind w:left="1125" w:hanging="360"/>
      </w:pPr>
      <w:rPr>
        <w:rFonts w:ascii="Courier New" w:hAnsi="Courier New" w:cs="Courier New" w:hint="default"/>
      </w:rPr>
    </w:lvl>
    <w:lvl w:ilvl="2" w:tplc="08070005" w:tentative="1">
      <w:start w:val="1"/>
      <w:numFmt w:val="bullet"/>
      <w:lvlText w:val=""/>
      <w:lvlJc w:val="left"/>
      <w:pPr>
        <w:ind w:left="1845" w:hanging="360"/>
      </w:pPr>
      <w:rPr>
        <w:rFonts w:ascii="Wingdings" w:hAnsi="Wingdings" w:hint="default"/>
      </w:rPr>
    </w:lvl>
    <w:lvl w:ilvl="3" w:tplc="08070001" w:tentative="1">
      <w:start w:val="1"/>
      <w:numFmt w:val="bullet"/>
      <w:lvlText w:val=""/>
      <w:lvlJc w:val="left"/>
      <w:pPr>
        <w:ind w:left="2565" w:hanging="360"/>
      </w:pPr>
      <w:rPr>
        <w:rFonts w:ascii="Symbol" w:hAnsi="Symbol" w:hint="default"/>
      </w:rPr>
    </w:lvl>
    <w:lvl w:ilvl="4" w:tplc="08070003" w:tentative="1">
      <w:start w:val="1"/>
      <w:numFmt w:val="bullet"/>
      <w:lvlText w:val="o"/>
      <w:lvlJc w:val="left"/>
      <w:pPr>
        <w:ind w:left="3285" w:hanging="360"/>
      </w:pPr>
      <w:rPr>
        <w:rFonts w:ascii="Courier New" w:hAnsi="Courier New" w:cs="Courier New" w:hint="default"/>
      </w:rPr>
    </w:lvl>
    <w:lvl w:ilvl="5" w:tplc="08070005" w:tentative="1">
      <w:start w:val="1"/>
      <w:numFmt w:val="bullet"/>
      <w:lvlText w:val=""/>
      <w:lvlJc w:val="left"/>
      <w:pPr>
        <w:ind w:left="4005" w:hanging="360"/>
      </w:pPr>
      <w:rPr>
        <w:rFonts w:ascii="Wingdings" w:hAnsi="Wingdings" w:hint="default"/>
      </w:rPr>
    </w:lvl>
    <w:lvl w:ilvl="6" w:tplc="08070001" w:tentative="1">
      <w:start w:val="1"/>
      <w:numFmt w:val="bullet"/>
      <w:lvlText w:val=""/>
      <w:lvlJc w:val="left"/>
      <w:pPr>
        <w:ind w:left="4725" w:hanging="360"/>
      </w:pPr>
      <w:rPr>
        <w:rFonts w:ascii="Symbol" w:hAnsi="Symbol" w:hint="default"/>
      </w:rPr>
    </w:lvl>
    <w:lvl w:ilvl="7" w:tplc="08070003" w:tentative="1">
      <w:start w:val="1"/>
      <w:numFmt w:val="bullet"/>
      <w:lvlText w:val="o"/>
      <w:lvlJc w:val="left"/>
      <w:pPr>
        <w:ind w:left="5445" w:hanging="360"/>
      </w:pPr>
      <w:rPr>
        <w:rFonts w:ascii="Courier New" w:hAnsi="Courier New" w:cs="Courier New" w:hint="default"/>
      </w:rPr>
    </w:lvl>
    <w:lvl w:ilvl="8" w:tplc="08070005" w:tentative="1">
      <w:start w:val="1"/>
      <w:numFmt w:val="bullet"/>
      <w:lvlText w:val=""/>
      <w:lvlJc w:val="left"/>
      <w:pPr>
        <w:ind w:left="6165" w:hanging="360"/>
      </w:pPr>
      <w:rPr>
        <w:rFonts w:ascii="Wingdings" w:hAnsi="Wingdings" w:hint="default"/>
      </w:rPr>
    </w:lvl>
  </w:abstractNum>
  <w:abstractNum w:abstractNumId="13" w15:restartNumberingAfterBreak="0">
    <w:nsid w:val="611244DD"/>
    <w:multiLevelType w:val="hybridMultilevel"/>
    <w:tmpl w:val="24AE7DE8"/>
    <w:lvl w:ilvl="0" w:tplc="08070001">
      <w:start w:val="1"/>
      <w:numFmt w:val="bullet"/>
      <w:lvlText w:val=""/>
      <w:lvlJc w:val="left"/>
      <w:pPr>
        <w:ind w:left="720" w:hanging="360"/>
      </w:pPr>
      <w:rPr>
        <w:rFonts w:ascii="Symbol" w:hAnsi="Symbol" w:hint="default"/>
      </w:rPr>
    </w:lvl>
    <w:lvl w:ilvl="1" w:tplc="BC3CC28E">
      <w:numFmt w:val="bullet"/>
      <w:lvlText w:val="-"/>
      <w:lvlJc w:val="left"/>
      <w:pPr>
        <w:ind w:left="1440" w:hanging="360"/>
      </w:pPr>
      <w:rPr>
        <w:rFonts w:ascii="Arial" w:eastAsia="Times New Roman"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70331CC"/>
    <w:multiLevelType w:val="hybridMultilevel"/>
    <w:tmpl w:val="46569EE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FB4173D"/>
    <w:multiLevelType w:val="hybridMultilevel"/>
    <w:tmpl w:val="74E86BC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4384E79"/>
    <w:multiLevelType w:val="hybridMultilevel"/>
    <w:tmpl w:val="95FA330A"/>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74C9043E"/>
    <w:multiLevelType w:val="hybridMultilevel"/>
    <w:tmpl w:val="BAC6E84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15:restartNumberingAfterBreak="0">
    <w:nsid w:val="74F112F1"/>
    <w:multiLevelType w:val="hybridMultilevel"/>
    <w:tmpl w:val="919EF162"/>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9" w15:restartNumberingAfterBreak="0">
    <w:nsid w:val="78B50825"/>
    <w:multiLevelType w:val="hybridMultilevel"/>
    <w:tmpl w:val="66EE13AA"/>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0" w15:restartNumberingAfterBreak="0">
    <w:nsid w:val="7C9B07FF"/>
    <w:multiLevelType w:val="hybridMultilevel"/>
    <w:tmpl w:val="839A501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7E037F80"/>
    <w:multiLevelType w:val="hybridMultilevel"/>
    <w:tmpl w:val="2AE84D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7FB52A05"/>
    <w:multiLevelType w:val="hybridMultilevel"/>
    <w:tmpl w:val="2416B85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14"/>
  </w:num>
  <w:num w:numId="4">
    <w:abstractNumId w:val="22"/>
  </w:num>
  <w:num w:numId="5">
    <w:abstractNumId w:val="10"/>
  </w:num>
  <w:num w:numId="6">
    <w:abstractNumId w:val="3"/>
  </w:num>
  <w:num w:numId="7">
    <w:abstractNumId w:val="7"/>
  </w:num>
  <w:num w:numId="8">
    <w:abstractNumId w:val="5"/>
  </w:num>
  <w:num w:numId="9">
    <w:abstractNumId w:val="21"/>
  </w:num>
  <w:num w:numId="10">
    <w:abstractNumId w:val="0"/>
  </w:num>
  <w:num w:numId="11">
    <w:abstractNumId w:val="6"/>
  </w:num>
  <w:num w:numId="12">
    <w:abstractNumId w:val="18"/>
  </w:num>
  <w:num w:numId="13">
    <w:abstractNumId w:val="13"/>
  </w:num>
  <w:num w:numId="14">
    <w:abstractNumId w:val="13"/>
  </w:num>
  <w:num w:numId="15">
    <w:abstractNumId w:val="2"/>
  </w:num>
  <w:num w:numId="16">
    <w:abstractNumId w:val="20"/>
  </w:num>
  <w:num w:numId="17">
    <w:abstractNumId w:val="12"/>
  </w:num>
  <w:num w:numId="18">
    <w:abstractNumId w:val="11"/>
  </w:num>
  <w:num w:numId="19">
    <w:abstractNumId w:val="19"/>
  </w:num>
  <w:num w:numId="20">
    <w:abstractNumId w:val="4"/>
  </w:num>
  <w:num w:numId="21">
    <w:abstractNumId w:val="8"/>
  </w:num>
  <w:num w:numId="22">
    <w:abstractNumId w:val="9"/>
  </w:num>
  <w:num w:numId="23">
    <w:abstractNumId w:val="16"/>
  </w:num>
  <w:num w:numId="24">
    <w:abstractNumId w:val="17"/>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488"/>
    <w:rsid w:val="00002C45"/>
    <w:rsid w:val="00024AF7"/>
    <w:rsid w:val="0002750C"/>
    <w:rsid w:val="00036D68"/>
    <w:rsid w:val="00050292"/>
    <w:rsid w:val="00053541"/>
    <w:rsid w:val="00063141"/>
    <w:rsid w:val="000667A4"/>
    <w:rsid w:val="00084B53"/>
    <w:rsid w:val="000921FB"/>
    <w:rsid w:val="00097781"/>
    <w:rsid w:val="000D3560"/>
    <w:rsid w:val="000E50EB"/>
    <w:rsid w:val="000F1773"/>
    <w:rsid w:val="000F6AED"/>
    <w:rsid w:val="000F7037"/>
    <w:rsid w:val="0011072F"/>
    <w:rsid w:val="00114B13"/>
    <w:rsid w:val="0011793D"/>
    <w:rsid w:val="001208AF"/>
    <w:rsid w:val="0013569C"/>
    <w:rsid w:val="00143356"/>
    <w:rsid w:val="00163551"/>
    <w:rsid w:val="0016748C"/>
    <w:rsid w:val="00171DF6"/>
    <w:rsid w:val="00173488"/>
    <w:rsid w:val="00190451"/>
    <w:rsid w:val="001909B0"/>
    <w:rsid w:val="00196CCF"/>
    <w:rsid w:val="001A6022"/>
    <w:rsid w:val="001B1E78"/>
    <w:rsid w:val="001C3811"/>
    <w:rsid w:val="001D2FBA"/>
    <w:rsid w:val="001D4508"/>
    <w:rsid w:val="001D4CB7"/>
    <w:rsid w:val="001D6484"/>
    <w:rsid w:val="0020012E"/>
    <w:rsid w:val="00214C22"/>
    <w:rsid w:val="00231DA2"/>
    <w:rsid w:val="00236130"/>
    <w:rsid w:val="00237BC4"/>
    <w:rsid w:val="00237CC2"/>
    <w:rsid w:val="00250A62"/>
    <w:rsid w:val="00254BEA"/>
    <w:rsid w:val="0025525B"/>
    <w:rsid w:val="00256D27"/>
    <w:rsid w:val="00262FEE"/>
    <w:rsid w:val="0026722A"/>
    <w:rsid w:val="002810FF"/>
    <w:rsid w:val="0029175B"/>
    <w:rsid w:val="00296645"/>
    <w:rsid w:val="002A448E"/>
    <w:rsid w:val="002E62AB"/>
    <w:rsid w:val="002E727C"/>
    <w:rsid w:val="002F6EE7"/>
    <w:rsid w:val="00302126"/>
    <w:rsid w:val="00325E9E"/>
    <w:rsid w:val="00365C8F"/>
    <w:rsid w:val="003958DC"/>
    <w:rsid w:val="003C4BE4"/>
    <w:rsid w:val="003F36EA"/>
    <w:rsid w:val="003F7317"/>
    <w:rsid w:val="00400C73"/>
    <w:rsid w:val="00401014"/>
    <w:rsid w:val="00402ECA"/>
    <w:rsid w:val="00403C3D"/>
    <w:rsid w:val="00423703"/>
    <w:rsid w:val="004542E3"/>
    <w:rsid w:val="00473A8A"/>
    <w:rsid w:val="00474383"/>
    <w:rsid w:val="00476DFB"/>
    <w:rsid w:val="00490BA8"/>
    <w:rsid w:val="00491592"/>
    <w:rsid w:val="004950E8"/>
    <w:rsid w:val="004A4E20"/>
    <w:rsid w:val="004B10AD"/>
    <w:rsid w:val="004C064A"/>
    <w:rsid w:val="004C5BCA"/>
    <w:rsid w:val="004D2966"/>
    <w:rsid w:val="004D695E"/>
    <w:rsid w:val="004F2A76"/>
    <w:rsid w:val="00500A99"/>
    <w:rsid w:val="005039CA"/>
    <w:rsid w:val="005247C3"/>
    <w:rsid w:val="00526B77"/>
    <w:rsid w:val="00527336"/>
    <w:rsid w:val="00534A17"/>
    <w:rsid w:val="00545793"/>
    <w:rsid w:val="00546187"/>
    <w:rsid w:val="00546A5D"/>
    <w:rsid w:val="00552038"/>
    <w:rsid w:val="00552715"/>
    <w:rsid w:val="0056118C"/>
    <w:rsid w:val="00564A3F"/>
    <w:rsid w:val="00575B75"/>
    <w:rsid w:val="005865C6"/>
    <w:rsid w:val="0059086D"/>
    <w:rsid w:val="00592A07"/>
    <w:rsid w:val="00593B19"/>
    <w:rsid w:val="005B57D4"/>
    <w:rsid w:val="005C24F3"/>
    <w:rsid w:val="005D004A"/>
    <w:rsid w:val="005D15B2"/>
    <w:rsid w:val="005E2F2A"/>
    <w:rsid w:val="005E58BA"/>
    <w:rsid w:val="006063E5"/>
    <w:rsid w:val="00612413"/>
    <w:rsid w:val="006236B4"/>
    <w:rsid w:val="00625CEF"/>
    <w:rsid w:val="00635E28"/>
    <w:rsid w:val="00655E1A"/>
    <w:rsid w:val="00663722"/>
    <w:rsid w:val="0069276C"/>
    <w:rsid w:val="00695D82"/>
    <w:rsid w:val="006A5185"/>
    <w:rsid w:val="006A7212"/>
    <w:rsid w:val="006A7486"/>
    <w:rsid w:val="006B2E53"/>
    <w:rsid w:val="006B71FA"/>
    <w:rsid w:val="006D0AE8"/>
    <w:rsid w:val="006E11BA"/>
    <w:rsid w:val="006F3797"/>
    <w:rsid w:val="006F4086"/>
    <w:rsid w:val="00707FC9"/>
    <w:rsid w:val="00711360"/>
    <w:rsid w:val="00711994"/>
    <w:rsid w:val="00746383"/>
    <w:rsid w:val="00757F35"/>
    <w:rsid w:val="00762946"/>
    <w:rsid w:val="00774FCF"/>
    <w:rsid w:val="007752A6"/>
    <w:rsid w:val="0078070D"/>
    <w:rsid w:val="007964A8"/>
    <w:rsid w:val="007A1A0E"/>
    <w:rsid w:val="007A6193"/>
    <w:rsid w:val="007B6AB8"/>
    <w:rsid w:val="007B6D5C"/>
    <w:rsid w:val="007C684A"/>
    <w:rsid w:val="007C6F5B"/>
    <w:rsid w:val="007D0694"/>
    <w:rsid w:val="007D30C5"/>
    <w:rsid w:val="007D5AA8"/>
    <w:rsid w:val="007D7B5F"/>
    <w:rsid w:val="007F3B30"/>
    <w:rsid w:val="00807B48"/>
    <w:rsid w:val="00815304"/>
    <w:rsid w:val="00827957"/>
    <w:rsid w:val="00841C04"/>
    <w:rsid w:val="00847BEC"/>
    <w:rsid w:val="008520BC"/>
    <w:rsid w:val="008535D1"/>
    <w:rsid w:val="00861656"/>
    <w:rsid w:val="00876DD1"/>
    <w:rsid w:val="008929FC"/>
    <w:rsid w:val="00894F1D"/>
    <w:rsid w:val="0089510A"/>
    <w:rsid w:val="00896C6D"/>
    <w:rsid w:val="008A7D9E"/>
    <w:rsid w:val="008B466F"/>
    <w:rsid w:val="008C5247"/>
    <w:rsid w:val="008C6105"/>
    <w:rsid w:val="008C70BF"/>
    <w:rsid w:val="008C7878"/>
    <w:rsid w:val="008D130E"/>
    <w:rsid w:val="008E0771"/>
    <w:rsid w:val="008F71E0"/>
    <w:rsid w:val="009100CD"/>
    <w:rsid w:val="009331E2"/>
    <w:rsid w:val="0094112D"/>
    <w:rsid w:val="00943F7C"/>
    <w:rsid w:val="00946126"/>
    <w:rsid w:val="00950AFA"/>
    <w:rsid w:val="0095167B"/>
    <w:rsid w:val="009548C0"/>
    <w:rsid w:val="00981E88"/>
    <w:rsid w:val="00983FD6"/>
    <w:rsid w:val="00984490"/>
    <w:rsid w:val="00985555"/>
    <w:rsid w:val="00987C98"/>
    <w:rsid w:val="009920AB"/>
    <w:rsid w:val="009A6DE9"/>
    <w:rsid w:val="009B40CA"/>
    <w:rsid w:val="009C095C"/>
    <w:rsid w:val="009E232B"/>
    <w:rsid w:val="009E6B4E"/>
    <w:rsid w:val="009F30F9"/>
    <w:rsid w:val="009F7E42"/>
    <w:rsid w:val="009F7ED3"/>
    <w:rsid w:val="00A0132A"/>
    <w:rsid w:val="00A1110E"/>
    <w:rsid w:val="00A13B2A"/>
    <w:rsid w:val="00A1555D"/>
    <w:rsid w:val="00A21F0C"/>
    <w:rsid w:val="00A239EC"/>
    <w:rsid w:val="00A331E6"/>
    <w:rsid w:val="00A33F0A"/>
    <w:rsid w:val="00A507F7"/>
    <w:rsid w:val="00A5081C"/>
    <w:rsid w:val="00A542D9"/>
    <w:rsid w:val="00A81637"/>
    <w:rsid w:val="00A940A5"/>
    <w:rsid w:val="00AA2BB3"/>
    <w:rsid w:val="00AB5E65"/>
    <w:rsid w:val="00AD2D71"/>
    <w:rsid w:val="00B034CA"/>
    <w:rsid w:val="00B11643"/>
    <w:rsid w:val="00B249D9"/>
    <w:rsid w:val="00B26FAC"/>
    <w:rsid w:val="00B35EB3"/>
    <w:rsid w:val="00B51015"/>
    <w:rsid w:val="00B53F9B"/>
    <w:rsid w:val="00B560EB"/>
    <w:rsid w:val="00B93767"/>
    <w:rsid w:val="00BA3DDA"/>
    <w:rsid w:val="00BA53F9"/>
    <w:rsid w:val="00BB293F"/>
    <w:rsid w:val="00BB38AB"/>
    <w:rsid w:val="00BB5D26"/>
    <w:rsid w:val="00BC01C6"/>
    <w:rsid w:val="00BC0B88"/>
    <w:rsid w:val="00BD234E"/>
    <w:rsid w:val="00BE03CA"/>
    <w:rsid w:val="00BF4A91"/>
    <w:rsid w:val="00BF78A0"/>
    <w:rsid w:val="00C05F52"/>
    <w:rsid w:val="00C07D0D"/>
    <w:rsid w:val="00C10CC8"/>
    <w:rsid w:val="00C23A41"/>
    <w:rsid w:val="00C27446"/>
    <w:rsid w:val="00C62E39"/>
    <w:rsid w:val="00CA7899"/>
    <w:rsid w:val="00CB7846"/>
    <w:rsid w:val="00CD5356"/>
    <w:rsid w:val="00CD53DB"/>
    <w:rsid w:val="00D079CB"/>
    <w:rsid w:val="00D21142"/>
    <w:rsid w:val="00D2241F"/>
    <w:rsid w:val="00D55AE5"/>
    <w:rsid w:val="00D86785"/>
    <w:rsid w:val="00D929B8"/>
    <w:rsid w:val="00D96D41"/>
    <w:rsid w:val="00D971F7"/>
    <w:rsid w:val="00DA2CF3"/>
    <w:rsid w:val="00DC4093"/>
    <w:rsid w:val="00DD3F19"/>
    <w:rsid w:val="00DE1159"/>
    <w:rsid w:val="00DE4D24"/>
    <w:rsid w:val="00DE5B34"/>
    <w:rsid w:val="00DF0FF1"/>
    <w:rsid w:val="00DF51C0"/>
    <w:rsid w:val="00E00EA5"/>
    <w:rsid w:val="00E01AFC"/>
    <w:rsid w:val="00E13C3D"/>
    <w:rsid w:val="00E149D9"/>
    <w:rsid w:val="00E14AC1"/>
    <w:rsid w:val="00E160BC"/>
    <w:rsid w:val="00E271B9"/>
    <w:rsid w:val="00E36081"/>
    <w:rsid w:val="00E47CAC"/>
    <w:rsid w:val="00E91056"/>
    <w:rsid w:val="00EA440F"/>
    <w:rsid w:val="00EA5642"/>
    <w:rsid w:val="00EC2762"/>
    <w:rsid w:val="00EF0615"/>
    <w:rsid w:val="00EF3C0E"/>
    <w:rsid w:val="00F0006E"/>
    <w:rsid w:val="00F405A5"/>
    <w:rsid w:val="00F61FCA"/>
    <w:rsid w:val="00F66363"/>
    <w:rsid w:val="00FA19C7"/>
    <w:rsid w:val="00FA2372"/>
    <w:rsid w:val="00FA3223"/>
    <w:rsid w:val="00FB191D"/>
    <w:rsid w:val="00FF1C5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FF768C"/>
  <w15:chartTrackingRefBased/>
  <w15:docId w15:val="{1A27367E-4621-466B-A12C-BFA11AB64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0" w:lineRule="atLeast"/>
    </w:pPr>
    <w:rPr>
      <w:rFonts w:ascii="Arial" w:hAnsi="Arial" w:cs="Arial"/>
    </w:rPr>
  </w:style>
  <w:style w:type="paragraph" w:styleId="Heading1">
    <w:name w:val="heading 1"/>
    <w:basedOn w:val="Normal"/>
    <w:next w:val="Normal"/>
    <w:link w:val="Heading1Char"/>
    <w:uiPriority w:val="9"/>
    <w:qFormat/>
    <w:rsid w:val="006236B4"/>
    <w:pPr>
      <w:keepNext/>
      <w:keepLines/>
      <w:widowControl w:val="0"/>
      <w:numPr>
        <w:numId w:val="1"/>
      </w:numPr>
      <w:spacing w:before="620" w:after="260"/>
      <w:contextualSpacing/>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6236B4"/>
    <w:pPr>
      <w:keepNext/>
      <w:keepLines/>
      <w:widowControl w:val="0"/>
      <w:numPr>
        <w:ilvl w:val="1"/>
        <w:numId w:val="1"/>
      </w:numPr>
      <w:spacing w:before="580" w:after="120"/>
      <w:ind w:left="576"/>
      <w:contextualSpacing/>
      <w:outlineLvl w:val="1"/>
    </w:pPr>
    <w:rPr>
      <w:rFonts w:eastAsia="Times New Roman" w:cs="Times New Roman"/>
      <w:b/>
      <w:bCs/>
      <w:sz w:val="30"/>
      <w:szCs w:val="26"/>
    </w:rPr>
  </w:style>
  <w:style w:type="paragraph" w:styleId="Heading3">
    <w:name w:val="heading 3"/>
    <w:basedOn w:val="Normal"/>
    <w:next w:val="Normal"/>
    <w:link w:val="Heading3Char"/>
    <w:uiPriority w:val="9"/>
    <w:unhideWhenUsed/>
    <w:qFormat/>
    <w:rsid w:val="006236B4"/>
    <w:pPr>
      <w:keepNext/>
      <w:keepLines/>
      <w:widowControl w:val="0"/>
      <w:numPr>
        <w:ilvl w:val="2"/>
        <w:numId w:val="1"/>
      </w:numPr>
      <w:spacing w:before="380" w:after="120"/>
      <w:contextualSpacing/>
      <w:outlineLvl w:val="2"/>
    </w:pPr>
    <w:rPr>
      <w:rFonts w:eastAsia="Times New Roman" w:cs="Times New Roman"/>
      <w:b/>
      <w:bCs/>
      <w:sz w:val="24"/>
      <w:szCs w:val="20"/>
    </w:rPr>
  </w:style>
  <w:style w:type="paragraph" w:styleId="Heading4">
    <w:name w:val="heading 4"/>
    <w:basedOn w:val="Normal"/>
    <w:next w:val="Normal"/>
    <w:link w:val="Heading4Char"/>
    <w:uiPriority w:val="9"/>
    <w:qFormat/>
    <w:rsid w:val="006236B4"/>
    <w:pPr>
      <w:keepNext/>
      <w:keepLines/>
      <w:widowControl w:val="0"/>
      <w:numPr>
        <w:ilvl w:val="3"/>
        <w:numId w:val="1"/>
      </w:numPr>
      <w:tabs>
        <w:tab w:val="left" w:pos="1276"/>
      </w:tabs>
      <w:spacing w:before="460" w:after="60"/>
      <w:contextualSpacing/>
      <w:outlineLvl w:val="3"/>
    </w:pPr>
    <w:rPr>
      <w:rFonts w:eastAsia="Times New Roman" w:cs="Times New Roman"/>
      <w:b/>
      <w:bCs/>
      <w:szCs w:val="28"/>
      <w:lang w:eastAsia="de-DE"/>
    </w:rPr>
  </w:style>
  <w:style w:type="paragraph" w:styleId="Heading6">
    <w:name w:val="heading 6"/>
    <w:basedOn w:val="Normal"/>
    <w:next w:val="Normal"/>
    <w:link w:val="Heading6Char"/>
    <w:uiPriority w:val="9"/>
    <w:qFormat/>
    <w:rsid w:val="006236B4"/>
    <w:pPr>
      <w:keepNext/>
      <w:keepLines/>
      <w:widowControl w:val="0"/>
      <w:numPr>
        <w:ilvl w:val="5"/>
        <w:numId w:val="1"/>
      </w:numPr>
      <w:tabs>
        <w:tab w:val="left" w:pos="1559"/>
        <w:tab w:val="left" w:pos="1701"/>
        <w:tab w:val="left" w:pos="1843"/>
      </w:tabs>
      <w:spacing w:before="460" w:after="60"/>
      <w:contextualSpacing/>
      <w:outlineLvl w:val="5"/>
    </w:pPr>
    <w:rPr>
      <w:rFonts w:eastAsia="Times New Roman" w:cs="Times New Roman"/>
      <w:bCs/>
      <w:szCs w:val="20"/>
      <w:lang w:eastAsia="de-DE"/>
    </w:rPr>
  </w:style>
  <w:style w:type="paragraph" w:styleId="Heading7">
    <w:name w:val="heading 7"/>
    <w:basedOn w:val="Normal"/>
    <w:next w:val="Normal"/>
    <w:link w:val="Heading7Char"/>
    <w:uiPriority w:val="9"/>
    <w:qFormat/>
    <w:rsid w:val="006236B4"/>
    <w:pPr>
      <w:keepNext/>
      <w:keepLines/>
      <w:widowControl w:val="0"/>
      <w:numPr>
        <w:ilvl w:val="6"/>
        <w:numId w:val="1"/>
      </w:numPr>
      <w:tabs>
        <w:tab w:val="left" w:pos="1701"/>
        <w:tab w:val="left" w:pos="1843"/>
        <w:tab w:val="left" w:pos="1985"/>
        <w:tab w:val="left" w:pos="2126"/>
      </w:tabs>
      <w:spacing w:before="460" w:after="60"/>
      <w:contextualSpacing/>
      <w:outlineLvl w:val="6"/>
    </w:pPr>
    <w:rPr>
      <w:rFonts w:eastAsia="Times New Roman" w:cs="Times New Roman"/>
      <w:i/>
      <w:szCs w:val="24"/>
      <w:lang w:eastAsia="de-DE"/>
    </w:rPr>
  </w:style>
  <w:style w:type="paragraph" w:styleId="Heading8">
    <w:name w:val="heading 8"/>
    <w:basedOn w:val="Normal"/>
    <w:next w:val="Normal"/>
    <w:link w:val="Heading8Char"/>
    <w:uiPriority w:val="9"/>
    <w:qFormat/>
    <w:rsid w:val="006236B4"/>
    <w:pPr>
      <w:keepNext/>
      <w:keepLines/>
      <w:widowControl w:val="0"/>
      <w:numPr>
        <w:ilvl w:val="7"/>
        <w:numId w:val="1"/>
      </w:numPr>
      <w:tabs>
        <w:tab w:val="left" w:pos="1843"/>
        <w:tab w:val="left" w:pos="1985"/>
        <w:tab w:val="left" w:pos="2126"/>
        <w:tab w:val="left" w:pos="2268"/>
      </w:tabs>
      <w:spacing w:before="460" w:after="60"/>
      <w:outlineLvl w:val="7"/>
    </w:pPr>
    <w:rPr>
      <w:rFonts w:eastAsia="Times New Roman" w:cs="Times New Roman"/>
      <w:iCs/>
      <w:sz w:val="20"/>
      <w:szCs w:val="24"/>
      <w:lang w:eastAsia="de-DE"/>
    </w:rPr>
  </w:style>
  <w:style w:type="paragraph" w:styleId="Heading9">
    <w:name w:val="heading 9"/>
    <w:basedOn w:val="Normal"/>
    <w:next w:val="Normal"/>
    <w:link w:val="Heading9Char"/>
    <w:uiPriority w:val="9"/>
    <w:qFormat/>
    <w:rsid w:val="006236B4"/>
    <w:pPr>
      <w:keepNext/>
      <w:keepLines/>
      <w:widowControl w:val="0"/>
      <w:numPr>
        <w:ilvl w:val="8"/>
        <w:numId w:val="1"/>
      </w:numPr>
      <w:tabs>
        <w:tab w:val="left" w:pos="1985"/>
        <w:tab w:val="left" w:pos="2126"/>
        <w:tab w:val="left" w:pos="2268"/>
        <w:tab w:val="left" w:pos="2410"/>
        <w:tab w:val="left" w:pos="2552"/>
      </w:tabs>
      <w:spacing w:before="460" w:after="60"/>
      <w:contextualSpacing/>
      <w:outlineLvl w:val="8"/>
    </w:pPr>
    <w:rPr>
      <w:rFonts w:eastAsia="Times New Roman"/>
      <w:i/>
      <w:sz w:val="2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6B4"/>
    <w:rPr>
      <w:rFonts w:ascii="Arial" w:eastAsia="Times New Roman" w:hAnsi="Arial" w:cs="Times New Roman"/>
      <w:b/>
      <w:bCs/>
      <w:sz w:val="36"/>
      <w:szCs w:val="28"/>
    </w:rPr>
  </w:style>
  <w:style w:type="character" w:customStyle="1" w:styleId="Heading2Char">
    <w:name w:val="Heading 2 Char"/>
    <w:basedOn w:val="DefaultParagraphFont"/>
    <w:link w:val="Heading2"/>
    <w:uiPriority w:val="9"/>
    <w:rsid w:val="006236B4"/>
    <w:rPr>
      <w:rFonts w:ascii="Arial" w:eastAsia="Times New Roman" w:hAnsi="Arial" w:cs="Times New Roman"/>
      <w:b/>
      <w:bCs/>
      <w:sz w:val="30"/>
      <w:szCs w:val="26"/>
    </w:rPr>
  </w:style>
  <w:style w:type="character" w:customStyle="1" w:styleId="Heading3Char">
    <w:name w:val="Heading 3 Char"/>
    <w:basedOn w:val="DefaultParagraphFont"/>
    <w:link w:val="Heading3"/>
    <w:uiPriority w:val="9"/>
    <w:rsid w:val="006236B4"/>
    <w:rPr>
      <w:rFonts w:ascii="Arial" w:eastAsia="Times New Roman" w:hAnsi="Arial" w:cs="Times New Roman"/>
      <w:b/>
      <w:bCs/>
      <w:sz w:val="24"/>
      <w:szCs w:val="20"/>
    </w:rPr>
  </w:style>
  <w:style w:type="character" w:customStyle="1" w:styleId="Heading4Char">
    <w:name w:val="Heading 4 Char"/>
    <w:basedOn w:val="DefaultParagraphFont"/>
    <w:link w:val="Heading4"/>
    <w:uiPriority w:val="9"/>
    <w:rsid w:val="006236B4"/>
    <w:rPr>
      <w:rFonts w:ascii="Arial" w:eastAsia="Times New Roman" w:hAnsi="Arial" w:cs="Times New Roman"/>
      <w:b/>
      <w:bCs/>
      <w:szCs w:val="28"/>
      <w:lang w:eastAsia="de-DE"/>
    </w:rPr>
  </w:style>
  <w:style w:type="character" w:customStyle="1" w:styleId="Heading6Char">
    <w:name w:val="Heading 6 Char"/>
    <w:basedOn w:val="DefaultParagraphFont"/>
    <w:link w:val="Heading6"/>
    <w:uiPriority w:val="9"/>
    <w:rsid w:val="006236B4"/>
    <w:rPr>
      <w:rFonts w:ascii="Arial" w:eastAsia="Times New Roman" w:hAnsi="Arial" w:cs="Times New Roman"/>
      <w:bCs/>
      <w:szCs w:val="20"/>
      <w:lang w:eastAsia="de-DE"/>
    </w:rPr>
  </w:style>
  <w:style w:type="character" w:customStyle="1" w:styleId="Heading7Char">
    <w:name w:val="Heading 7 Char"/>
    <w:basedOn w:val="DefaultParagraphFont"/>
    <w:link w:val="Heading7"/>
    <w:uiPriority w:val="9"/>
    <w:rsid w:val="006236B4"/>
    <w:rPr>
      <w:rFonts w:ascii="Arial" w:eastAsia="Times New Roman" w:hAnsi="Arial" w:cs="Times New Roman"/>
      <w:i/>
      <w:szCs w:val="24"/>
      <w:lang w:eastAsia="de-DE"/>
    </w:rPr>
  </w:style>
  <w:style w:type="character" w:customStyle="1" w:styleId="Heading8Char">
    <w:name w:val="Heading 8 Char"/>
    <w:basedOn w:val="DefaultParagraphFont"/>
    <w:link w:val="Heading8"/>
    <w:uiPriority w:val="9"/>
    <w:rsid w:val="006236B4"/>
    <w:rPr>
      <w:rFonts w:ascii="Arial" w:eastAsia="Times New Roman" w:hAnsi="Arial" w:cs="Times New Roman"/>
      <w:iCs/>
      <w:sz w:val="20"/>
      <w:szCs w:val="24"/>
      <w:lang w:eastAsia="de-DE"/>
    </w:rPr>
  </w:style>
  <w:style w:type="character" w:customStyle="1" w:styleId="Heading9Char">
    <w:name w:val="Heading 9 Char"/>
    <w:basedOn w:val="DefaultParagraphFont"/>
    <w:link w:val="Heading9"/>
    <w:uiPriority w:val="9"/>
    <w:rsid w:val="006236B4"/>
    <w:rPr>
      <w:rFonts w:ascii="Arial" w:eastAsia="Times New Roman" w:hAnsi="Arial" w:cs="Arial"/>
      <w:i/>
      <w:sz w:val="20"/>
      <w:szCs w:val="20"/>
      <w:lang w:eastAsia="de-DE"/>
    </w:rPr>
  </w:style>
  <w:style w:type="paragraph" w:styleId="Header">
    <w:name w:val="header"/>
    <w:basedOn w:val="Normal"/>
    <w:link w:val="HeaderChar"/>
    <w:uiPriority w:val="99"/>
    <w:unhideWhenUsed/>
    <w:qFormat/>
    <w:rsid w:val="006236B4"/>
    <w:pPr>
      <w:widowControl w:val="0"/>
      <w:suppressAutoHyphens/>
      <w:spacing w:line="200" w:lineRule="atLeast"/>
    </w:pPr>
    <w:rPr>
      <w:rFonts w:eastAsia="Calibri"/>
      <w:sz w:val="15"/>
    </w:rPr>
  </w:style>
  <w:style w:type="character" w:customStyle="1" w:styleId="HeaderChar">
    <w:name w:val="Header Char"/>
    <w:basedOn w:val="DefaultParagraphFont"/>
    <w:link w:val="Header"/>
    <w:uiPriority w:val="99"/>
    <w:rsid w:val="006236B4"/>
    <w:rPr>
      <w:rFonts w:ascii="Arial" w:eastAsia="Calibri" w:hAnsi="Arial" w:cs="Arial"/>
      <w:sz w:val="15"/>
    </w:rPr>
  </w:style>
  <w:style w:type="paragraph" w:styleId="Footer">
    <w:name w:val="footer"/>
    <w:basedOn w:val="Normal"/>
    <w:link w:val="FooterChar"/>
    <w:unhideWhenUsed/>
    <w:rsid w:val="006236B4"/>
    <w:pPr>
      <w:widowControl w:val="0"/>
      <w:spacing w:line="160" w:lineRule="atLeast"/>
    </w:pPr>
    <w:rPr>
      <w:rFonts w:eastAsia="Calibri"/>
      <w:sz w:val="12"/>
    </w:rPr>
  </w:style>
  <w:style w:type="character" w:customStyle="1" w:styleId="FooterChar">
    <w:name w:val="Footer Char"/>
    <w:basedOn w:val="DefaultParagraphFont"/>
    <w:link w:val="Footer"/>
    <w:rsid w:val="006236B4"/>
    <w:rPr>
      <w:rFonts w:ascii="Arial" w:eastAsia="Calibri" w:hAnsi="Arial" w:cs="Arial"/>
      <w:sz w:val="12"/>
    </w:rPr>
  </w:style>
  <w:style w:type="table" w:styleId="TableGrid">
    <w:name w:val="Table Grid"/>
    <w:basedOn w:val="TableNormal"/>
    <w:uiPriority w:val="39"/>
    <w:rsid w:val="006236B4"/>
    <w:pPr>
      <w:widowControl w:val="0"/>
      <w:spacing w:after="0" w:line="240" w:lineRule="auto"/>
    </w:pPr>
    <w:rPr>
      <w:rFonts w:ascii="Arial" w:eastAsia="Calibri" w:hAnsi="Arial" w:cs="Arial"/>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KopfzeileDepartement">
    <w:name w:val="KopfzeileDepartement"/>
    <w:basedOn w:val="Header"/>
    <w:next w:val="KopfzeileFett"/>
    <w:rsid w:val="006236B4"/>
    <w:pPr>
      <w:spacing w:after="100"/>
      <w:contextualSpacing/>
    </w:pPr>
  </w:style>
  <w:style w:type="paragraph" w:customStyle="1" w:styleId="KopfzeileFett">
    <w:name w:val="KopfzeileFett"/>
    <w:basedOn w:val="Header"/>
    <w:next w:val="Header"/>
    <w:rsid w:val="006236B4"/>
    <w:rPr>
      <w:b/>
    </w:rPr>
  </w:style>
  <w:style w:type="paragraph" w:customStyle="1" w:styleId="Referenz">
    <w:name w:val="Referenz"/>
    <w:basedOn w:val="Normal"/>
    <w:rsid w:val="006236B4"/>
    <w:pPr>
      <w:widowControl w:val="0"/>
      <w:suppressAutoHyphens/>
      <w:spacing w:line="200" w:lineRule="atLeast"/>
    </w:pPr>
    <w:rPr>
      <w:rFonts w:eastAsia="Calibri"/>
      <w:sz w:val="15"/>
    </w:rPr>
  </w:style>
  <w:style w:type="paragraph" w:styleId="Title">
    <w:name w:val="Title"/>
    <w:basedOn w:val="Normal"/>
    <w:next w:val="Normal"/>
    <w:link w:val="TitleChar"/>
    <w:qFormat/>
    <w:rsid w:val="006236B4"/>
    <w:pPr>
      <w:widowControl w:val="0"/>
    </w:pPr>
    <w:rPr>
      <w:rFonts w:eastAsia="Times New Roman" w:cs="Times New Roman"/>
      <w:b/>
      <w:sz w:val="42"/>
      <w:szCs w:val="52"/>
    </w:rPr>
  </w:style>
  <w:style w:type="character" w:customStyle="1" w:styleId="TitleChar">
    <w:name w:val="Title Char"/>
    <w:basedOn w:val="DefaultParagraphFont"/>
    <w:link w:val="Title"/>
    <w:rsid w:val="006236B4"/>
    <w:rPr>
      <w:rFonts w:ascii="Arial" w:eastAsia="Times New Roman" w:hAnsi="Arial" w:cs="Times New Roman"/>
      <w:b/>
      <w:sz w:val="42"/>
      <w:szCs w:val="52"/>
    </w:rPr>
  </w:style>
  <w:style w:type="paragraph" w:styleId="Subtitle">
    <w:name w:val="Subtitle"/>
    <w:basedOn w:val="Normal"/>
    <w:next w:val="Normal"/>
    <w:link w:val="SubtitleChar"/>
    <w:qFormat/>
    <w:rsid w:val="006236B4"/>
    <w:pPr>
      <w:widowControl w:val="0"/>
      <w:numPr>
        <w:ilvl w:val="1"/>
      </w:numPr>
    </w:pPr>
    <w:rPr>
      <w:rFonts w:eastAsia="Times New Roman" w:cs="Times New Roman"/>
      <w:iCs/>
      <w:sz w:val="42"/>
      <w:szCs w:val="24"/>
    </w:rPr>
  </w:style>
  <w:style w:type="character" w:customStyle="1" w:styleId="SubtitleChar">
    <w:name w:val="Subtitle Char"/>
    <w:basedOn w:val="DefaultParagraphFont"/>
    <w:link w:val="Subtitle"/>
    <w:rsid w:val="006236B4"/>
    <w:rPr>
      <w:rFonts w:ascii="Arial" w:eastAsia="Times New Roman" w:hAnsi="Arial" w:cs="Times New Roman"/>
      <w:iCs/>
      <w:sz w:val="42"/>
      <w:szCs w:val="24"/>
    </w:rPr>
  </w:style>
  <w:style w:type="paragraph" w:customStyle="1" w:styleId="Datum1">
    <w:name w:val="Datum1"/>
    <w:basedOn w:val="Normal"/>
    <w:next w:val="Normal"/>
    <w:rsid w:val="006236B4"/>
    <w:rPr>
      <w:rFonts w:eastAsia="Times New Roman" w:cs="Times New Roman"/>
      <w:sz w:val="20"/>
      <w:szCs w:val="20"/>
      <w:lang w:eastAsia="de-CH"/>
    </w:rPr>
  </w:style>
  <w:style w:type="character" w:styleId="PageNumber">
    <w:name w:val="page number"/>
    <w:basedOn w:val="DefaultParagraphFont"/>
    <w:semiHidden/>
    <w:rsid w:val="006236B4"/>
    <w:rPr>
      <w:rFonts w:ascii="Arial" w:hAnsi="Arial"/>
      <w:dstrike w:val="0"/>
      <w:color w:val="auto"/>
      <w:sz w:val="14"/>
      <w:vertAlign w:val="baseline"/>
    </w:rPr>
  </w:style>
  <w:style w:type="paragraph" w:styleId="ListParagraph">
    <w:name w:val="List Paragraph"/>
    <w:basedOn w:val="Normal"/>
    <w:uiPriority w:val="34"/>
    <w:qFormat/>
    <w:rsid w:val="006236B4"/>
    <w:pPr>
      <w:ind w:left="720"/>
      <w:contextualSpacing/>
    </w:pPr>
    <w:rPr>
      <w:rFonts w:eastAsia="Times New Roman" w:cs="Times New Roman"/>
      <w:sz w:val="20"/>
      <w:szCs w:val="20"/>
      <w:lang w:eastAsia="de-CH"/>
    </w:rPr>
  </w:style>
  <w:style w:type="paragraph" w:styleId="BalloonText">
    <w:name w:val="Balloon Text"/>
    <w:basedOn w:val="Normal"/>
    <w:link w:val="BalloonTextChar"/>
    <w:uiPriority w:val="99"/>
    <w:semiHidden/>
    <w:unhideWhenUsed/>
    <w:rsid w:val="00EC276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762"/>
    <w:rPr>
      <w:rFonts w:ascii="Segoe UI" w:hAnsi="Segoe UI" w:cs="Segoe UI"/>
      <w:sz w:val="18"/>
      <w:szCs w:val="18"/>
    </w:rPr>
  </w:style>
  <w:style w:type="character" w:styleId="CommentReference">
    <w:name w:val="annotation reference"/>
    <w:basedOn w:val="DefaultParagraphFont"/>
    <w:uiPriority w:val="99"/>
    <w:semiHidden/>
    <w:unhideWhenUsed/>
    <w:rsid w:val="009548C0"/>
    <w:rPr>
      <w:sz w:val="16"/>
      <w:szCs w:val="16"/>
    </w:rPr>
  </w:style>
  <w:style w:type="paragraph" w:styleId="CommentText">
    <w:name w:val="annotation text"/>
    <w:basedOn w:val="Normal"/>
    <w:link w:val="CommentTextChar"/>
    <w:uiPriority w:val="99"/>
    <w:semiHidden/>
    <w:unhideWhenUsed/>
    <w:rsid w:val="009548C0"/>
    <w:pPr>
      <w:spacing w:line="240" w:lineRule="auto"/>
    </w:pPr>
    <w:rPr>
      <w:sz w:val="20"/>
      <w:szCs w:val="20"/>
    </w:rPr>
  </w:style>
  <w:style w:type="character" w:customStyle="1" w:styleId="CommentTextChar">
    <w:name w:val="Comment Text Char"/>
    <w:basedOn w:val="DefaultParagraphFont"/>
    <w:link w:val="CommentText"/>
    <w:uiPriority w:val="99"/>
    <w:semiHidden/>
    <w:rsid w:val="009548C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548C0"/>
    <w:rPr>
      <w:b/>
      <w:bCs/>
    </w:rPr>
  </w:style>
  <w:style w:type="character" w:customStyle="1" w:styleId="CommentSubjectChar">
    <w:name w:val="Comment Subject Char"/>
    <w:basedOn w:val="CommentTextChar"/>
    <w:link w:val="CommentSubject"/>
    <w:uiPriority w:val="99"/>
    <w:semiHidden/>
    <w:rsid w:val="009548C0"/>
    <w:rPr>
      <w:rFonts w:ascii="Arial" w:hAnsi="Arial" w:cs="Arial"/>
      <w:b/>
      <w:bCs/>
      <w:sz w:val="20"/>
      <w:szCs w:val="20"/>
    </w:rPr>
  </w:style>
  <w:style w:type="paragraph" w:styleId="Revision">
    <w:name w:val="Revision"/>
    <w:hidden/>
    <w:uiPriority w:val="99"/>
    <w:semiHidden/>
    <w:rsid w:val="00BD234E"/>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566080">
      <w:bodyDiv w:val="1"/>
      <w:marLeft w:val="0"/>
      <w:marRight w:val="0"/>
      <w:marTop w:val="0"/>
      <w:marBottom w:val="0"/>
      <w:divBdr>
        <w:top w:val="none" w:sz="0" w:space="0" w:color="auto"/>
        <w:left w:val="none" w:sz="0" w:space="0" w:color="auto"/>
        <w:bottom w:val="none" w:sz="0" w:space="0" w:color="auto"/>
        <w:right w:val="none" w:sz="0" w:space="0" w:color="auto"/>
      </w:divBdr>
    </w:div>
    <w:div w:id="681858128">
      <w:bodyDiv w:val="1"/>
      <w:marLeft w:val="0"/>
      <w:marRight w:val="0"/>
      <w:marTop w:val="0"/>
      <w:marBottom w:val="0"/>
      <w:divBdr>
        <w:top w:val="none" w:sz="0" w:space="0" w:color="auto"/>
        <w:left w:val="none" w:sz="0" w:space="0" w:color="auto"/>
        <w:bottom w:val="none" w:sz="0" w:space="0" w:color="auto"/>
        <w:right w:val="none" w:sz="0" w:space="0" w:color="auto"/>
      </w:divBdr>
    </w:div>
    <w:div w:id="837305237">
      <w:bodyDiv w:val="1"/>
      <w:marLeft w:val="0"/>
      <w:marRight w:val="0"/>
      <w:marTop w:val="0"/>
      <w:marBottom w:val="0"/>
      <w:divBdr>
        <w:top w:val="none" w:sz="0" w:space="0" w:color="auto"/>
        <w:left w:val="none" w:sz="0" w:space="0" w:color="auto"/>
        <w:bottom w:val="none" w:sz="0" w:space="0" w:color="auto"/>
        <w:right w:val="none" w:sz="0" w:space="0" w:color="auto"/>
      </w:divBdr>
    </w:div>
    <w:div w:id="863860610">
      <w:bodyDiv w:val="1"/>
      <w:marLeft w:val="0"/>
      <w:marRight w:val="0"/>
      <w:marTop w:val="0"/>
      <w:marBottom w:val="0"/>
      <w:divBdr>
        <w:top w:val="none" w:sz="0" w:space="0" w:color="auto"/>
        <w:left w:val="none" w:sz="0" w:space="0" w:color="auto"/>
        <w:bottom w:val="none" w:sz="0" w:space="0" w:color="auto"/>
        <w:right w:val="none" w:sz="0" w:space="0" w:color="auto"/>
      </w:divBdr>
    </w:div>
    <w:div w:id="1077674074">
      <w:bodyDiv w:val="1"/>
      <w:marLeft w:val="0"/>
      <w:marRight w:val="0"/>
      <w:marTop w:val="0"/>
      <w:marBottom w:val="0"/>
      <w:divBdr>
        <w:top w:val="none" w:sz="0" w:space="0" w:color="auto"/>
        <w:left w:val="none" w:sz="0" w:space="0" w:color="auto"/>
        <w:bottom w:val="none" w:sz="0" w:space="0" w:color="auto"/>
        <w:right w:val="none" w:sz="0" w:space="0" w:color="auto"/>
      </w:divBdr>
    </w:div>
    <w:div w:id="1292638285">
      <w:bodyDiv w:val="1"/>
      <w:marLeft w:val="0"/>
      <w:marRight w:val="0"/>
      <w:marTop w:val="0"/>
      <w:marBottom w:val="0"/>
      <w:divBdr>
        <w:top w:val="none" w:sz="0" w:space="0" w:color="auto"/>
        <w:left w:val="none" w:sz="0" w:space="0" w:color="auto"/>
        <w:bottom w:val="none" w:sz="0" w:space="0" w:color="auto"/>
        <w:right w:val="none" w:sz="0" w:space="0" w:color="auto"/>
      </w:divBdr>
    </w:div>
    <w:div w:id="135399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2D50B-C68E-4C56-B288-56BD9E342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2196</Words>
  <Characters>12079</Characters>
  <Application>Microsoft Office Word</Application>
  <DocSecurity>0</DocSecurity>
  <Lines>100</Lines>
  <Paragraphs>28</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Bundesverwaltung</Company>
  <LinksUpToDate>false</LinksUpToDate>
  <CharactersWithSpaces>14247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Zihler Stefanie BAG</dc:creator>
  <cp:keywords/>
  <dc:description/>
  <cp:lastModifiedBy>Burkhalter David BAG</cp:lastModifiedBy>
  <cp:revision>237</cp:revision>
  <cp:lastPrinted>2025-01-31T15:40:00Z</cp:lastPrinted>
  <dcterms:created xsi:type="dcterms:W3CDTF">2020-01-23T09:44:00Z</dcterms:created>
  <dcterms:modified xsi:type="dcterms:W3CDTF">2025-01-31T15:41:00Z</dcterms:modified>
</cp:coreProperties>
</file>