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1511" w14:textId="77777777" w:rsidR="00AC5C39" w:rsidRDefault="00FC2EE7">
      <w:pPr>
        <w:suppressAutoHyphens/>
        <w:spacing w:after="80" w:line="200" w:lineRule="atLeast"/>
        <w:rPr>
          <w:noProof/>
          <w:sz w:val="15"/>
          <w:szCs w:val="15"/>
        </w:rPr>
      </w:pPr>
      <w:bookmarkStart w:id="0" w:name="_Hlk114648259"/>
      <w:r>
        <w:rPr>
          <w:noProof/>
          <w:lang w:eastAsia="fr-CH"/>
        </w:rPr>
        <w:drawing>
          <wp:anchor distT="0" distB="0" distL="114300" distR="114300" simplePos="0" relativeHeight="251657728" behindDoc="1" locked="0" layoutInCell="1" allowOverlap="1" wp14:anchorId="4B332AD0" wp14:editId="04FE4622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81200" cy="650875"/>
            <wp:effectExtent l="0" t="0" r="0" b="0"/>
            <wp:wrapNone/>
            <wp:docPr id="2" name="Grafik 2" descr="CDBund-\\vi00005a\BAG-Templates$\BITVM\Version_5.4.0.0\TechnicalFiles\Logo_Files\Logo_r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DBund-\\vi00005a\BAG-Templates$\BITVM\Version_5.4.0.0\TechnicalFiles\Logo_Files\Logo_ro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5"/>
          <w:szCs w:val="15"/>
        </w:rPr>
        <w:t>Département fédéral de l’intérieur (DFI)</w:t>
      </w:r>
    </w:p>
    <w:p w14:paraId="45E21088" w14:textId="77777777" w:rsidR="00AC5C39" w:rsidRDefault="00FC2EE7">
      <w:pPr>
        <w:suppressAutoHyphens/>
        <w:spacing w:line="200" w:lineRule="atLeast"/>
        <w:rPr>
          <w:b/>
          <w:noProof/>
          <w:sz w:val="15"/>
          <w:szCs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b/>
          <w:sz w:val="15"/>
        </w:rPr>
        <w:t xml:space="preserve">Office fédéral de la santé publique </w:t>
      </w:r>
      <w:proofErr w:type="spellStart"/>
      <w:r>
        <w:rPr>
          <w:b/>
          <w:sz w:val="15"/>
        </w:rPr>
        <w:t>OFSP</w:t>
      </w:r>
      <w:proofErr w:type="spellEnd"/>
    </w:p>
    <w:p w14:paraId="0CA105B4" w14:textId="77777777" w:rsidR="00AC5C39" w:rsidRDefault="00FC2EE7">
      <w:pPr>
        <w:suppressAutoHyphens/>
        <w:spacing w:line="200" w:lineRule="atLeast"/>
        <w:rPr>
          <w:b/>
          <w:noProof/>
          <w:sz w:val="15"/>
          <w:szCs w:val="15"/>
        </w:rPr>
      </w:pP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sz w:val="15"/>
        </w:rPr>
        <w:t>Unité de direction Assurance-maladie et accidents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648B22" w14:textId="77777777" w:rsidR="00AC5C39" w:rsidRDefault="00FC2EE7">
      <w:pPr>
        <w:suppressAutoHyphens/>
        <w:spacing w:line="200" w:lineRule="atLeast"/>
        <w:rPr>
          <w:b/>
          <w:noProof/>
          <w:sz w:val="15"/>
          <w:szCs w:val="15"/>
        </w:rPr>
      </w:pPr>
      <w:r>
        <w:tab/>
      </w:r>
      <w:r>
        <w:tab/>
      </w:r>
      <w:r>
        <w:tab/>
      </w:r>
    </w:p>
    <w:p w14:paraId="643A486D" w14:textId="77777777" w:rsidR="00AC5C39" w:rsidRDefault="00FC2EE7">
      <w:pPr>
        <w:pStyle w:val="FINMATitel"/>
        <w:jc w:val="left"/>
        <w:rPr>
          <w:sz w:val="32"/>
          <w:szCs w:val="32"/>
        </w:rPr>
      </w:pPr>
      <w:r>
        <w:rPr>
          <w:sz w:val="32"/>
        </w:rPr>
        <w:t xml:space="preserve">Rapport de révision pour la réduction de primes </w:t>
      </w:r>
      <w:proofErr w:type="spellStart"/>
      <w:r w:rsidRPr="00730F3F">
        <w:rPr>
          <w:sz w:val="32"/>
          <w:highlight w:val="yellow"/>
        </w:rPr>
        <w:t>20XX</w:t>
      </w:r>
      <w:proofErr w:type="spellEnd"/>
    </w:p>
    <w:p w14:paraId="2AF97CD4" w14:textId="77777777" w:rsidR="00AC5C39" w:rsidRDefault="00FC2EE7">
      <w:pPr>
        <w:pStyle w:val="FINMATitel"/>
        <w:jc w:val="left"/>
        <w:rPr>
          <w:sz w:val="32"/>
          <w:szCs w:val="32"/>
        </w:rPr>
      </w:pPr>
      <w:r w:rsidRPr="00730F3F">
        <w:rPr>
          <w:sz w:val="32"/>
          <w:highlight w:val="yellow"/>
        </w:rPr>
        <w:t>[Canton]</w:t>
      </w:r>
    </w:p>
    <w:p w14:paraId="403694D3" w14:textId="77777777" w:rsidR="00AC5C39" w:rsidRDefault="00AC5C39">
      <w:pPr>
        <w:pStyle w:val="FINMAStandardAbsatz"/>
      </w:pPr>
    </w:p>
    <w:sdt>
      <w:sdtPr>
        <w:rPr>
          <w:rFonts w:ascii="Arial" w:hAnsi="Arial"/>
          <w:b w:val="0"/>
          <w:bCs w:val="0"/>
          <w:color w:val="auto"/>
          <w:sz w:val="20"/>
          <w:szCs w:val="20"/>
          <w:lang w:eastAsia="de-DE"/>
        </w:rPr>
        <w:id w:val="-1831902704"/>
        <w:docPartObj>
          <w:docPartGallery w:val="Table of Contents"/>
          <w:docPartUnique/>
        </w:docPartObj>
      </w:sdtPr>
      <w:sdtEndPr/>
      <w:sdtContent>
        <w:p w14:paraId="08F84B42" w14:textId="77777777" w:rsidR="00AC5C39" w:rsidRPr="005020A8" w:rsidRDefault="00FC2EE7">
          <w:pPr>
            <w:pStyle w:val="Inhaltsverzeichnisberschrift"/>
            <w:rPr>
              <w:rFonts w:ascii="Arial" w:hAnsi="Arial" w:cs="Arial"/>
              <w:color w:val="auto"/>
            </w:rPr>
          </w:pPr>
          <w:r w:rsidRPr="005020A8">
            <w:rPr>
              <w:rFonts w:ascii="Arial" w:hAnsi="Arial" w:cs="Arial"/>
              <w:color w:val="auto"/>
            </w:rPr>
            <w:t>Table des matières</w:t>
          </w:r>
        </w:p>
        <w:p w14:paraId="41351CE8" w14:textId="404B4E18" w:rsidR="00E8206E" w:rsidRDefault="00FC2EE7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844772" w:history="1">
            <w:r w:rsidR="00E8206E" w:rsidRPr="00DE062F">
              <w:rPr>
                <w:rStyle w:val="Hyperlink"/>
              </w:rPr>
              <w:t>1</w:t>
            </w:r>
            <w:r w:rsidR="00E820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val="de-CH"/>
              </w:rPr>
              <w:tab/>
            </w:r>
            <w:r w:rsidR="00E8206E" w:rsidRPr="00DE062F">
              <w:rPr>
                <w:rStyle w:val="Hyperlink"/>
              </w:rPr>
              <w:t>Introduction</w:t>
            </w:r>
            <w:r w:rsidR="00E8206E">
              <w:rPr>
                <w:webHidden/>
              </w:rPr>
              <w:tab/>
            </w:r>
            <w:r w:rsidR="00E8206E">
              <w:rPr>
                <w:webHidden/>
              </w:rPr>
              <w:fldChar w:fldCharType="begin"/>
            </w:r>
            <w:r w:rsidR="00E8206E">
              <w:rPr>
                <w:webHidden/>
              </w:rPr>
              <w:instrText xml:space="preserve"> PAGEREF _Toc114844772 \h </w:instrText>
            </w:r>
            <w:r w:rsidR="00E8206E">
              <w:rPr>
                <w:webHidden/>
              </w:rPr>
            </w:r>
            <w:r w:rsidR="00E8206E">
              <w:rPr>
                <w:webHidden/>
              </w:rPr>
              <w:fldChar w:fldCharType="separate"/>
            </w:r>
            <w:r w:rsidR="00E8206E">
              <w:rPr>
                <w:webHidden/>
              </w:rPr>
              <w:t>2</w:t>
            </w:r>
            <w:r w:rsidR="00E8206E">
              <w:rPr>
                <w:webHidden/>
              </w:rPr>
              <w:fldChar w:fldCharType="end"/>
            </w:r>
          </w:hyperlink>
        </w:p>
        <w:p w14:paraId="2DA2D702" w14:textId="5560EAE9" w:rsidR="00E8206E" w:rsidRDefault="00E8206E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val="de-CH"/>
            </w:rPr>
          </w:pPr>
          <w:hyperlink w:anchor="_Toc114844773" w:history="1">
            <w:r w:rsidRPr="00DE062F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val="de-CH"/>
              </w:rPr>
              <w:tab/>
            </w:r>
            <w:r w:rsidRPr="00DE062F">
              <w:rPr>
                <w:rStyle w:val="Hyperlink"/>
              </w:rPr>
              <w:t>Bases légales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B1F42B0" w14:textId="422B6986" w:rsidR="00E8206E" w:rsidRDefault="00E8206E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val="de-CH"/>
            </w:rPr>
          </w:pPr>
          <w:hyperlink w:anchor="_Toc114844774" w:history="1">
            <w:r w:rsidRPr="00DE062F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val="de-CH"/>
              </w:rPr>
              <w:tab/>
            </w:r>
            <w:r w:rsidRPr="00DE062F">
              <w:rPr>
                <w:rStyle w:val="Hyperlink"/>
              </w:rPr>
              <w:t>Spécification du mandat d’audit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94E4768" w14:textId="31A6B6C0" w:rsidR="00E8206E" w:rsidRDefault="00E8206E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val="de-CH"/>
            </w:rPr>
          </w:pPr>
          <w:hyperlink w:anchor="_Toc114844775" w:history="1">
            <w:r w:rsidRPr="00DE062F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val="de-CH"/>
              </w:rPr>
              <w:tab/>
            </w:r>
            <w:r w:rsidRPr="00DE062F">
              <w:rPr>
                <w:rStyle w:val="Hyperlink"/>
              </w:rPr>
              <w:t>Contrôles effectués et étendue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B164915" w14:textId="7F9B0CFC" w:rsidR="00E8206E" w:rsidRDefault="00E8206E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e-CH"/>
            </w:rPr>
          </w:pPr>
          <w:hyperlink w:anchor="_Toc114844776" w:history="1">
            <w:r w:rsidRPr="00DE062F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val="de-CH"/>
              </w:rPr>
              <w:tab/>
            </w:r>
            <w:r w:rsidRPr="00DE062F">
              <w:rPr>
                <w:rStyle w:val="Hyperlink"/>
              </w:rPr>
              <w:t>Synthèse du résultat du contrôle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0FE7E7A" w14:textId="1F369C54" w:rsidR="00E8206E" w:rsidRDefault="00E8206E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val="de-CH"/>
            </w:rPr>
          </w:pPr>
          <w:hyperlink w:anchor="_Toc114844777" w:history="1">
            <w:r w:rsidRPr="00DE062F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val="de-CH"/>
              </w:rPr>
              <w:tab/>
            </w:r>
            <w:r w:rsidRPr="00DE062F">
              <w:rPr>
                <w:rStyle w:val="Hyperlink"/>
              </w:rPr>
              <w:t>Évaluation du système de contrôle interne (SCI)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E46CB9D" w14:textId="6D83C914" w:rsidR="00E8206E" w:rsidRDefault="00E8206E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val="de-CH"/>
            </w:rPr>
          </w:pPr>
          <w:hyperlink w:anchor="_Toc114844778" w:history="1">
            <w:r w:rsidRPr="00DE062F">
              <w:rPr>
                <w:rStyle w:val="Hyperlink"/>
              </w:rPr>
              <w:t>2.2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val="de-CH"/>
              </w:rPr>
              <w:tab/>
            </w:r>
            <w:r w:rsidRPr="00DE062F">
              <w:rPr>
                <w:rStyle w:val="Hyperlink"/>
              </w:rPr>
              <w:t xml:space="preserve">Confirmations des dispositions légales pour l’exercice </w:t>
            </w:r>
            <w:r w:rsidRPr="00DE062F">
              <w:rPr>
                <w:rStyle w:val="Hyperlink"/>
                <w:highlight w:val="yellow"/>
              </w:rPr>
              <w:t>20XX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CFE0FD7" w14:textId="0BCC2231" w:rsidR="00E8206E" w:rsidRDefault="00E8206E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val="de-CH"/>
            </w:rPr>
          </w:pPr>
          <w:hyperlink w:anchor="_Toc114844779" w:history="1">
            <w:r w:rsidRPr="00DE062F">
              <w:rPr>
                <w:rStyle w:val="Hyperlink"/>
              </w:rPr>
              <w:t>2.3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val="de-CH"/>
              </w:rPr>
              <w:tab/>
            </w:r>
            <w:r w:rsidRPr="00DE062F">
              <w:rPr>
                <w:rStyle w:val="Hyperlink"/>
              </w:rPr>
              <w:t xml:space="preserve">Confirmations du décompte de la réduction de prime pour l’exercice </w:t>
            </w:r>
            <w:r w:rsidRPr="00DE062F">
              <w:rPr>
                <w:rStyle w:val="Hyperlink"/>
                <w:highlight w:val="yellow"/>
              </w:rPr>
              <w:t>20XX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9B281B9" w14:textId="4402C834" w:rsidR="00E8206E" w:rsidRDefault="00E8206E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val="de-CH"/>
            </w:rPr>
          </w:pPr>
          <w:hyperlink w:anchor="_Toc114844780" w:history="1">
            <w:r w:rsidRPr="00DE062F">
              <w:rPr>
                <w:rStyle w:val="Hyperlink"/>
              </w:rPr>
              <w:t>2.4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val="de-CH"/>
              </w:rPr>
              <w:tab/>
            </w:r>
            <w:r w:rsidRPr="00DE062F">
              <w:rPr>
                <w:rStyle w:val="Hyperlink"/>
              </w:rPr>
              <w:t>Autres remarques / confirmations de l’organe de révision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276F25" w14:textId="2CFCFD70" w:rsidR="00E8206E" w:rsidRDefault="00E8206E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e-CH"/>
            </w:rPr>
          </w:pPr>
          <w:hyperlink w:anchor="_Toc114844781" w:history="1">
            <w:r w:rsidRPr="00DE062F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val="de-CH"/>
              </w:rPr>
              <w:tab/>
            </w:r>
            <w:r w:rsidRPr="00DE062F">
              <w:rPr>
                <w:rStyle w:val="Hyperlink"/>
              </w:rPr>
              <w:t>Signatures de l’organe de révision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3DFCF95" w14:textId="327D03D8" w:rsidR="00E8206E" w:rsidRDefault="00E8206E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  <w:lang w:val="de-CH"/>
            </w:rPr>
          </w:pPr>
          <w:hyperlink w:anchor="_Toc114844782" w:history="1">
            <w:r w:rsidRPr="00DE062F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val="de-CH"/>
              </w:rPr>
              <w:tab/>
            </w:r>
            <w:r w:rsidRPr="00DE062F">
              <w:rPr>
                <w:rStyle w:val="Hyperlink"/>
              </w:rPr>
              <w:t>Annexes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CD8039C" w14:textId="1C2B6B9C" w:rsidR="00AC5C39" w:rsidRDefault="00FC2EE7">
          <w:r>
            <w:rPr>
              <w:b/>
            </w:rPr>
            <w:fldChar w:fldCharType="end"/>
          </w:r>
        </w:p>
      </w:sdtContent>
    </w:sdt>
    <w:p w14:paraId="060F64FF" w14:textId="77777777" w:rsidR="00AC5C39" w:rsidRDefault="00FC2EE7">
      <w:pPr>
        <w:spacing w:line="240" w:lineRule="auto"/>
        <w:rPr>
          <w:b/>
          <w:sz w:val="32"/>
          <w:szCs w:val="32"/>
        </w:rPr>
      </w:pPr>
      <w:r>
        <w:br w:type="page"/>
      </w:r>
    </w:p>
    <w:p w14:paraId="17A23EB7" w14:textId="77777777" w:rsidR="00AC5C39" w:rsidRDefault="00FC2EE7">
      <w:pPr>
        <w:pStyle w:val="berschrift1"/>
        <w:numPr>
          <w:ilvl w:val="0"/>
          <w:numId w:val="1"/>
        </w:numPr>
      </w:pPr>
      <w:bookmarkStart w:id="1" w:name="_Toc114844772"/>
      <w:r>
        <w:lastRenderedPageBreak/>
        <w:t>Introduction</w:t>
      </w:r>
      <w:bookmarkEnd w:id="1"/>
    </w:p>
    <w:p w14:paraId="464CAF2C" w14:textId="77777777" w:rsidR="00AC5C39" w:rsidRDefault="00FC2EE7">
      <w:pPr>
        <w:pStyle w:val="berschrift2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2" w:name="_Toc114844773"/>
      <w:r>
        <w:rPr>
          <w:sz w:val="24"/>
        </w:rPr>
        <w:t>Bases légales</w:t>
      </w:r>
      <w:bookmarkEnd w:id="2"/>
    </w:p>
    <w:p w14:paraId="06E909C6" w14:textId="77777777" w:rsidR="00AC5C39" w:rsidRPr="007C6733" w:rsidRDefault="00FC2EE7">
      <w:pPr>
        <w:autoSpaceDE w:val="0"/>
        <w:autoSpaceDN w:val="0"/>
        <w:adjustRightInd w:val="0"/>
        <w:spacing w:line="240" w:lineRule="auto"/>
        <w:rPr>
          <w:rFonts w:cs="Arial"/>
          <w:iCs/>
          <w:color w:val="000000"/>
          <w:sz w:val="24"/>
          <w:szCs w:val="24"/>
        </w:rPr>
      </w:pPr>
      <w:r w:rsidRPr="007C6733">
        <w:rPr>
          <w:iCs/>
          <w:color w:val="000000"/>
        </w:rPr>
        <w:t>Bases légales, au niveau fédéral et cantonal, sur lesquelles se fondent les contrôles portant sur l’application de la réduction de primes dans l’assurance-maladie</w:t>
      </w:r>
      <w:r w:rsidR="00C83AD2" w:rsidRPr="007C6733">
        <w:rPr>
          <w:iCs/>
          <w:color w:val="000000"/>
        </w:rPr>
        <w:t xml:space="preserve"> (RIP)</w:t>
      </w:r>
      <w:r w:rsidRPr="007C6733">
        <w:rPr>
          <w:iCs/>
          <w:color w:val="000000"/>
        </w:rPr>
        <w:t>.</w:t>
      </w:r>
    </w:p>
    <w:p w14:paraId="35289BCA" w14:textId="77777777" w:rsidR="00AC5C39" w:rsidRDefault="00FC2EE7">
      <w:pPr>
        <w:pStyle w:val="FINMAStandardAbsatz"/>
        <w:numPr>
          <w:ilvl w:val="0"/>
          <w:numId w:val="11"/>
        </w:numPr>
      </w:pPr>
      <w:r>
        <w:t>Loi fédérale sur l’assurance-maladie (</w:t>
      </w:r>
      <w:proofErr w:type="spellStart"/>
      <w:r>
        <w:t>LAMal</w:t>
      </w:r>
      <w:proofErr w:type="spellEnd"/>
      <w:r>
        <w:t>) du 18 mars 1994</w:t>
      </w:r>
    </w:p>
    <w:p w14:paraId="71ED6A53" w14:textId="77777777" w:rsidR="00AC5C39" w:rsidRDefault="00FC2EE7">
      <w:pPr>
        <w:pStyle w:val="FINMAStandardAbsatz"/>
        <w:numPr>
          <w:ilvl w:val="0"/>
          <w:numId w:val="11"/>
        </w:numPr>
      </w:pPr>
      <w:r>
        <w:t>Ordonnance du 7 novembre 2007 sur les subsides fédéraux destinés à la réduction des primes dans l’assurance-maladie (</w:t>
      </w:r>
      <w:proofErr w:type="spellStart"/>
      <w:r>
        <w:t>ORPM</w:t>
      </w:r>
      <w:proofErr w:type="spellEnd"/>
      <w:r>
        <w:t>)</w:t>
      </w:r>
    </w:p>
    <w:p w14:paraId="3C14D91B" w14:textId="77777777" w:rsidR="00AC5C39" w:rsidRDefault="00FC2EE7">
      <w:pPr>
        <w:pStyle w:val="FINMAStandardAbsatz"/>
        <w:numPr>
          <w:ilvl w:val="0"/>
          <w:numId w:val="11"/>
        </w:numPr>
      </w:pPr>
      <w:r>
        <w:t>Loi fédérale du 5 octobre 1990 sur les aides financières et les indemnités (</w:t>
      </w:r>
      <w:proofErr w:type="spellStart"/>
      <w:r>
        <w:t>LSu</w:t>
      </w:r>
      <w:proofErr w:type="spellEnd"/>
      <w:r>
        <w:t xml:space="preserve">) </w:t>
      </w:r>
    </w:p>
    <w:p w14:paraId="06D9AA78" w14:textId="77777777" w:rsidR="00AC5C39" w:rsidRDefault="00FC2EE7">
      <w:pPr>
        <w:pStyle w:val="FINMAStandardAbsatz"/>
        <w:numPr>
          <w:ilvl w:val="0"/>
          <w:numId w:val="11"/>
        </w:numPr>
        <w:rPr>
          <w:b/>
          <w:bCs/>
        </w:rPr>
      </w:pPr>
      <w:r>
        <w:t>Législation cantonale portant sur l’application de la réduction de primes</w:t>
      </w:r>
    </w:p>
    <w:p w14:paraId="676D5FE9" w14:textId="77777777" w:rsidR="00AC5C39" w:rsidRDefault="00FC2EE7">
      <w:pPr>
        <w:pStyle w:val="berschrift2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3" w:name="_Toc114844774"/>
      <w:r>
        <w:rPr>
          <w:sz w:val="24"/>
        </w:rPr>
        <w:t>Spécification du mandat d’audit</w:t>
      </w:r>
      <w:bookmarkEnd w:id="3"/>
    </w:p>
    <w:p w14:paraId="6A054ED3" w14:textId="77777777" w:rsidR="00AC5C39" w:rsidRPr="007C6733" w:rsidRDefault="00FC2EE7">
      <w:pPr>
        <w:pStyle w:val="FINMAStandardAbsatz"/>
        <w:rPr>
          <w:iCs/>
        </w:rPr>
      </w:pPr>
      <w:r w:rsidRPr="007C6733">
        <w:rPr>
          <w:iCs/>
        </w:rPr>
        <w:t xml:space="preserve">Le mandat d’audit découle de l’art. 6, al. 1, </w:t>
      </w:r>
      <w:proofErr w:type="spellStart"/>
      <w:r w:rsidRPr="007C6733">
        <w:rPr>
          <w:iCs/>
        </w:rPr>
        <w:t>ORPM</w:t>
      </w:r>
      <w:proofErr w:type="spellEnd"/>
      <w:r w:rsidRPr="007C6733">
        <w:rPr>
          <w:iCs/>
        </w:rPr>
        <w:t xml:space="preserve"> et consiste en la vérification de l’exécution de la réduction de primes conformément aux bases légales détaillées au point 1.1. Le canton a toute liberté pour vérifier d’autres éléments</w:t>
      </w:r>
      <w:r w:rsidR="00C83AD2" w:rsidRPr="007C6733">
        <w:rPr>
          <w:iCs/>
        </w:rPr>
        <w:t xml:space="preserve"> (cf. 2.4)</w:t>
      </w:r>
      <w:r w:rsidRPr="007C6733">
        <w:rPr>
          <w:iCs/>
        </w:rPr>
        <w:t>.</w:t>
      </w:r>
    </w:p>
    <w:p w14:paraId="68ADE50B" w14:textId="2D74DD7F" w:rsidR="0088441B" w:rsidRDefault="00C83AD2">
      <w:pPr>
        <w:pStyle w:val="FINMAStandardAbsatz"/>
        <w:rPr>
          <w:i/>
        </w:rPr>
      </w:pPr>
      <w:r>
        <w:rPr>
          <w:i/>
        </w:rPr>
        <w:t>Si la caisse de compensation est d</w:t>
      </w:r>
      <w:r w:rsidR="008220CD">
        <w:rPr>
          <w:i/>
        </w:rPr>
        <w:t>é</w:t>
      </w:r>
      <w:r>
        <w:rPr>
          <w:i/>
        </w:rPr>
        <w:t xml:space="preserve">signée comme </w:t>
      </w:r>
      <w:r w:rsidR="00BB3016">
        <w:rPr>
          <w:i/>
        </w:rPr>
        <w:t>organe</w:t>
      </w:r>
      <w:r>
        <w:rPr>
          <w:i/>
        </w:rPr>
        <w:t xml:space="preserve"> d’</w:t>
      </w:r>
      <w:r w:rsidR="008220CD">
        <w:rPr>
          <w:i/>
        </w:rPr>
        <w:t>e</w:t>
      </w:r>
      <w:r>
        <w:rPr>
          <w:i/>
        </w:rPr>
        <w:t>x</w:t>
      </w:r>
      <w:r w:rsidR="008220CD">
        <w:rPr>
          <w:i/>
        </w:rPr>
        <w:t>é</w:t>
      </w:r>
      <w:r>
        <w:rPr>
          <w:i/>
        </w:rPr>
        <w:t>cution de la RIP</w:t>
      </w:r>
      <w:r w:rsidR="00DE5E78">
        <w:rPr>
          <w:i/>
        </w:rPr>
        <w:t xml:space="preserve"> (tâche confiée) :</w:t>
      </w:r>
    </w:p>
    <w:p w14:paraId="7238C284" w14:textId="0B7C517B" w:rsidR="00DE5E78" w:rsidRPr="007C6733" w:rsidRDefault="0088441B">
      <w:pPr>
        <w:pStyle w:val="FINMAStandardAbsatz"/>
        <w:rPr>
          <w:i/>
          <w:iCs/>
        </w:rPr>
      </w:pPr>
      <w:r w:rsidRPr="007C6733">
        <w:rPr>
          <w:i/>
          <w:iCs/>
        </w:rPr>
        <w:t xml:space="preserve">En tant qu’organe de révision de la caisse de compensation du </w:t>
      </w:r>
      <w:r w:rsidRPr="007C6733">
        <w:rPr>
          <w:i/>
          <w:iCs/>
          <w:highlight w:val="yellow"/>
        </w:rPr>
        <w:t>canton de</w:t>
      </w:r>
      <w:r w:rsidR="007B36C3" w:rsidRPr="007C6733">
        <w:rPr>
          <w:i/>
          <w:iCs/>
          <w:highlight w:val="yellow"/>
        </w:rPr>
        <w:t>/du</w:t>
      </w:r>
      <w:r w:rsidRPr="007C6733">
        <w:rPr>
          <w:i/>
          <w:iCs/>
        </w:rPr>
        <w:t xml:space="preserve">, nous sommes tenus de vérifier les tâches confiées conformément à l’art. 132 </w:t>
      </w:r>
      <w:proofErr w:type="spellStart"/>
      <w:r w:rsidRPr="007C6733">
        <w:rPr>
          <w:i/>
          <w:iCs/>
        </w:rPr>
        <w:t>RAVS</w:t>
      </w:r>
      <w:proofErr w:type="spellEnd"/>
      <w:r w:rsidRPr="007C6733">
        <w:rPr>
          <w:i/>
          <w:iCs/>
        </w:rPr>
        <w:t>. À cet égard, nous avons vérifié l’</w:t>
      </w:r>
      <w:r w:rsidR="008220CD" w:rsidRPr="007C6733">
        <w:rPr>
          <w:i/>
          <w:iCs/>
        </w:rPr>
        <w:t>e</w:t>
      </w:r>
      <w:r w:rsidRPr="007C6733">
        <w:rPr>
          <w:i/>
          <w:iCs/>
        </w:rPr>
        <w:t>x</w:t>
      </w:r>
      <w:r w:rsidR="008220CD" w:rsidRPr="007C6733">
        <w:rPr>
          <w:i/>
          <w:iCs/>
        </w:rPr>
        <w:t>é</w:t>
      </w:r>
      <w:r w:rsidRPr="007C6733">
        <w:rPr>
          <w:i/>
          <w:iCs/>
        </w:rPr>
        <w:t>cution d</w:t>
      </w:r>
      <w:r w:rsidR="00060E0D" w:rsidRPr="007C6733">
        <w:rPr>
          <w:i/>
          <w:iCs/>
        </w:rPr>
        <w:t>e la réduction des primes par</w:t>
      </w:r>
      <w:r w:rsidRPr="007C6733">
        <w:rPr>
          <w:i/>
          <w:iCs/>
        </w:rPr>
        <w:t xml:space="preserve"> la caisse de compensation du </w:t>
      </w:r>
      <w:r w:rsidRPr="007C6733">
        <w:rPr>
          <w:i/>
          <w:iCs/>
          <w:highlight w:val="yellow"/>
        </w:rPr>
        <w:t>canton de</w:t>
      </w:r>
      <w:r w:rsidR="007B36C3" w:rsidRPr="007C6733">
        <w:rPr>
          <w:i/>
          <w:iCs/>
          <w:highlight w:val="yellow"/>
        </w:rPr>
        <w:t>/du</w:t>
      </w:r>
      <w:r w:rsidRPr="007C6733">
        <w:rPr>
          <w:i/>
          <w:iCs/>
        </w:rPr>
        <w:t xml:space="preserve"> conformément à l</w:t>
      </w:r>
      <w:r w:rsidR="00060E0D" w:rsidRPr="007C6733">
        <w:rPr>
          <w:i/>
          <w:iCs/>
        </w:rPr>
        <w:t>’art. 6, al. 1</w:t>
      </w:r>
      <w:r w:rsidR="007B36C3" w:rsidRPr="007C6733">
        <w:rPr>
          <w:i/>
          <w:iCs/>
        </w:rPr>
        <w:t>,</w:t>
      </w:r>
      <w:r w:rsidR="00060E0D" w:rsidRPr="007C6733">
        <w:rPr>
          <w:i/>
          <w:iCs/>
        </w:rPr>
        <w:t xml:space="preserve"> </w:t>
      </w:r>
      <w:proofErr w:type="spellStart"/>
      <w:r w:rsidR="00060E0D" w:rsidRPr="007C6733">
        <w:rPr>
          <w:i/>
          <w:iCs/>
        </w:rPr>
        <w:t>ORPM</w:t>
      </w:r>
      <w:proofErr w:type="spellEnd"/>
      <w:r w:rsidR="00060E0D" w:rsidRPr="007C6733">
        <w:rPr>
          <w:i/>
          <w:iCs/>
        </w:rPr>
        <w:t>.</w:t>
      </w:r>
    </w:p>
    <w:p w14:paraId="068B34E6" w14:textId="77777777" w:rsidR="00AC5C39" w:rsidRDefault="00FC2EE7">
      <w:pPr>
        <w:pStyle w:val="berschrift2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4" w:name="_Toc114844775"/>
      <w:r>
        <w:rPr>
          <w:sz w:val="24"/>
        </w:rPr>
        <w:t>Contrôles effectués et étendue</w:t>
      </w:r>
      <w:bookmarkEnd w:id="4"/>
    </w:p>
    <w:p w14:paraId="2579013F" w14:textId="2CD5D252" w:rsidR="00AC5C39" w:rsidRPr="007C6733" w:rsidRDefault="00FC2EE7">
      <w:pPr>
        <w:pStyle w:val="FINMAStandardAbsatz"/>
        <w:rPr>
          <w:iCs/>
        </w:rPr>
      </w:pPr>
      <w:r w:rsidRPr="007C6733">
        <w:rPr>
          <w:iCs/>
        </w:rPr>
        <w:t xml:space="preserve">Les contrôles doivent être organisés de façon à ce que, compte tenu de leur importance et après avoir procédé à une évaluation des risques, les éventuelles lacunes du </w:t>
      </w:r>
      <w:r w:rsidR="0088441B" w:rsidRPr="007C6733">
        <w:rPr>
          <w:iCs/>
        </w:rPr>
        <w:t>système de contrôle interne (</w:t>
      </w:r>
      <w:r w:rsidRPr="007C6733">
        <w:rPr>
          <w:iCs/>
        </w:rPr>
        <w:t>SCI</w:t>
      </w:r>
      <w:r w:rsidR="0088441B" w:rsidRPr="007C6733">
        <w:rPr>
          <w:iCs/>
        </w:rPr>
        <w:t>)</w:t>
      </w:r>
      <w:r w:rsidRPr="007C6733">
        <w:rPr>
          <w:iCs/>
        </w:rPr>
        <w:t xml:space="preserve"> ou de la comptabilité, ainsi que les erreurs graves dans le décompte de réduction sur le formulaire PV 12 soient identifiées avec une certitude suffisante. Il convient généralement de procéder à des mesures de contrôle qui visent aussi bien la méthode que le résultat, au moyen d’analyses et d’enquêtes sur la base de sondages.</w:t>
      </w:r>
    </w:p>
    <w:p w14:paraId="2E318F60" w14:textId="77777777" w:rsidR="0088441B" w:rsidRPr="007C6733" w:rsidRDefault="00FC2EE7">
      <w:pPr>
        <w:pStyle w:val="FINMAStandardAbsatz"/>
        <w:rPr>
          <w:iCs/>
        </w:rPr>
      </w:pPr>
      <w:r w:rsidRPr="007C6733">
        <w:rPr>
          <w:iCs/>
        </w:rPr>
        <w:t>Brève description des mesures de contrôle et de leur étendue par l’organe de révision.</w:t>
      </w:r>
    </w:p>
    <w:p w14:paraId="3E562646" w14:textId="28EBD905" w:rsidR="0088441B" w:rsidRPr="007C6733" w:rsidRDefault="00FF3F5D">
      <w:pPr>
        <w:pStyle w:val="FINMAStandardAbsatz"/>
        <w:rPr>
          <w:i/>
          <w:iCs/>
        </w:rPr>
      </w:pPr>
      <w:r w:rsidRPr="007C6733">
        <w:rPr>
          <w:i/>
          <w:iCs/>
        </w:rPr>
        <w:t>Lors</w:t>
      </w:r>
      <w:r w:rsidR="0088441B" w:rsidRPr="007C6733">
        <w:rPr>
          <w:i/>
          <w:iCs/>
        </w:rPr>
        <w:t xml:space="preserve"> de la révision du </w:t>
      </w:r>
      <w:proofErr w:type="spellStart"/>
      <w:r w:rsidR="0088441B" w:rsidRPr="007C6733">
        <w:rPr>
          <w:i/>
          <w:iCs/>
          <w:highlight w:val="yellow"/>
        </w:rPr>
        <w:t>JJ.MM.20XX</w:t>
      </w:r>
      <w:proofErr w:type="spellEnd"/>
      <w:r w:rsidR="00EC54D2" w:rsidRPr="007C6733">
        <w:rPr>
          <w:i/>
          <w:iCs/>
        </w:rPr>
        <w:t xml:space="preserve">, nous avons effectué les </w:t>
      </w:r>
      <w:r w:rsidR="00060E0D" w:rsidRPr="007C6733">
        <w:rPr>
          <w:i/>
          <w:iCs/>
        </w:rPr>
        <w:t>contrôles suivant</w:t>
      </w:r>
      <w:r w:rsidR="00EC54D2" w:rsidRPr="007C6733">
        <w:rPr>
          <w:i/>
          <w:iCs/>
        </w:rPr>
        <w:t>s :</w:t>
      </w:r>
    </w:p>
    <w:p w14:paraId="0A072173" w14:textId="0242E33F" w:rsidR="00EC54D2" w:rsidRPr="00802462" w:rsidRDefault="00EC54D2">
      <w:pPr>
        <w:pStyle w:val="FINMAStandardAbsatz"/>
      </w:pPr>
      <w:r>
        <w:t xml:space="preserve">La liste </w:t>
      </w:r>
      <w:r w:rsidR="00060E0D">
        <w:t>suivante</w:t>
      </w:r>
      <w:r>
        <w:t xml:space="preserve"> est indicative et non exhaustive. </w:t>
      </w:r>
      <w:r w:rsidR="0080774D">
        <w:t>Il ne s’agit pas non plus de prescriptions</w:t>
      </w:r>
      <w:r>
        <w:t xml:space="preserve"> concrètes de l’</w:t>
      </w:r>
      <w:proofErr w:type="spellStart"/>
      <w:r>
        <w:t>OFSP</w:t>
      </w:r>
      <w:proofErr w:type="spellEnd"/>
      <w:r>
        <w:t xml:space="preserve">. </w:t>
      </w:r>
    </w:p>
    <w:p w14:paraId="4E9B0055" w14:textId="21F26011" w:rsidR="00853CE8" w:rsidRPr="00730F3F" w:rsidRDefault="00853CE8" w:rsidP="00730F3F">
      <w:pPr>
        <w:pStyle w:val="Listenabsatz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/>
          <w:lang w:eastAsia="de-CH"/>
        </w:rPr>
      </w:pPr>
      <w:r w:rsidRPr="00853CE8">
        <w:rPr>
          <w:rFonts w:cs="Arial"/>
          <w:color w:val="000000"/>
          <w:lang w:eastAsia="de-CH"/>
        </w:rPr>
        <w:t>Évaluation de l’existence de contr</w:t>
      </w:r>
      <w:r w:rsidRPr="00730F3F">
        <w:rPr>
          <w:rFonts w:cs="Arial"/>
          <w:color w:val="000000"/>
          <w:lang w:eastAsia="de-CH"/>
        </w:rPr>
        <w:t xml:space="preserve">ôles internes et de l’application de la législation, sur la base d’enquêtes et des </w:t>
      </w:r>
      <w:r w:rsidR="00060E0D">
        <w:rPr>
          <w:rFonts w:cs="Arial"/>
          <w:color w:val="000000"/>
          <w:lang w:eastAsia="de-CH"/>
        </w:rPr>
        <w:t>contrôles</w:t>
      </w:r>
      <w:r w:rsidRPr="00730F3F">
        <w:rPr>
          <w:rFonts w:cs="Arial"/>
          <w:color w:val="000000"/>
          <w:lang w:eastAsia="de-CH"/>
        </w:rPr>
        <w:t xml:space="preserve"> figurant ci-dessous.</w:t>
      </w:r>
    </w:p>
    <w:p w14:paraId="2B68A8A1" w14:textId="77777777" w:rsidR="00802462" w:rsidRPr="00730F3F" w:rsidRDefault="00060E0D" w:rsidP="00730F3F">
      <w:pPr>
        <w:pStyle w:val="Listenabsatz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/>
          <w:lang w:eastAsia="de-CH"/>
        </w:rPr>
      </w:pPr>
      <w:r>
        <w:rPr>
          <w:rFonts w:cs="Arial"/>
          <w:color w:val="000000"/>
          <w:lang w:eastAsia="de-CH"/>
        </w:rPr>
        <w:t>Contrôle</w:t>
      </w:r>
      <w:r w:rsidR="00046038">
        <w:rPr>
          <w:rFonts w:cs="Arial"/>
          <w:color w:val="000000"/>
          <w:lang w:eastAsia="de-CH"/>
        </w:rPr>
        <w:t xml:space="preserve"> du respect des critères de subvention.</w:t>
      </w:r>
    </w:p>
    <w:p w14:paraId="6919E39B" w14:textId="77777777" w:rsidR="00802462" w:rsidRPr="00730F3F" w:rsidRDefault="00802462" w:rsidP="00730F3F">
      <w:pPr>
        <w:pStyle w:val="Listenabsatz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/>
          <w:lang w:eastAsia="de-CH"/>
        </w:rPr>
      </w:pPr>
      <w:r w:rsidRPr="00730F3F">
        <w:rPr>
          <w:rFonts w:cs="Arial"/>
          <w:color w:val="000000"/>
          <w:lang w:eastAsia="de-CH"/>
        </w:rPr>
        <w:t xml:space="preserve">Contrôle de la concordance entre les </w:t>
      </w:r>
      <w:r w:rsidR="00060E0D">
        <w:rPr>
          <w:rFonts w:cs="Arial"/>
          <w:color w:val="000000"/>
          <w:lang w:eastAsia="de-CH"/>
        </w:rPr>
        <w:t xml:space="preserve">montants des </w:t>
      </w:r>
      <w:r w:rsidRPr="00730F3F">
        <w:rPr>
          <w:rFonts w:cs="Arial"/>
          <w:color w:val="000000"/>
          <w:lang w:eastAsia="de-CH"/>
        </w:rPr>
        <w:t>réductions de primes versées et comptabilis</w:t>
      </w:r>
      <w:r w:rsidR="00FA0A79" w:rsidRPr="00FA0A79">
        <w:rPr>
          <w:rFonts w:cs="Arial"/>
          <w:color w:val="000000"/>
          <w:lang w:eastAsia="de-CH"/>
        </w:rPr>
        <w:t>ées avec la liste des paiements </w:t>
      </w:r>
      <w:r w:rsidRPr="00730F3F">
        <w:rPr>
          <w:rFonts w:cs="Arial"/>
          <w:color w:val="000000"/>
          <w:lang w:eastAsia="de-CH"/>
        </w:rPr>
        <w:t xml:space="preserve">; indiquer le nombre </w:t>
      </w:r>
      <w:r w:rsidR="00FA0A79">
        <w:rPr>
          <w:rFonts w:cs="Arial"/>
          <w:color w:val="000000"/>
          <w:lang w:eastAsia="de-CH"/>
        </w:rPr>
        <w:t>de sondages</w:t>
      </w:r>
      <w:r w:rsidRPr="00730F3F">
        <w:rPr>
          <w:rFonts w:cs="Arial"/>
          <w:color w:val="000000"/>
          <w:lang w:eastAsia="de-CH"/>
        </w:rPr>
        <w:t>.</w:t>
      </w:r>
    </w:p>
    <w:p w14:paraId="213D9737" w14:textId="77777777" w:rsidR="00853CE8" w:rsidRPr="00730F3F" w:rsidRDefault="00802462" w:rsidP="00730F3F">
      <w:pPr>
        <w:pStyle w:val="Listenabsatz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/>
          <w:lang w:eastAsia="de-CH"/>
        </w:rPr>
      </w:pPr>
      <w:r w:rsidRPr="00730F3F">
        <w:rPr>
          <w:rFonts w:cs="Arial"/>
          <w:color w:val="000000"/>
          <w:lang w:eastAsia="de-CH"/>
        </w:rPr>
        <w:t xml:space="preserve">Contrôle par </w:t>
      </w:r>
      <w:r w:rsidR="00FA0A79">
        <w:rPr>
          <w:rFonts w:cs="Arial"/>
          <w:color w:val="000000"/>
          <w:lang w:eastAsia="de-CH"/>
        </w:rPr>
        <w:t>sondages</w:t>
      </w:r>
      <w:r w:rsidRPr="00730F3F">
        <w:rPr>
          <w:rFonts w:cs="Arial"/>
          <w:color w:val="000000"/>
          <w:lang w:eastAsia="de-CH"/>
        </w:rPr>
        <w:t xml:space="preserve"> et consultation du décompte final </w:t>
      </w:r>
      <w:r w:rsidR="00FA0A79" w:rsidRPr="00FA0A79">
        <w:rPr>
          <w:rFonts w:cs="Arial"/>
          <w:color w:val="000000"/>
          <w:lang w:eastAsia="de-CH"/>
        </w:rPr>
        <w:t>des assureurs-maladie</w:t>
      </w:r>
      <w:r w:rsidR="00FA0A79">
        <w:rPr>
          <w:rFonts w:cs="Arial"/>
          <w:color w:val="000000"/>
          <w:lang w:eastAsia="de-CH"/>
        </w:rPr>
        <w:t> </w:t>
      </w:r>
      <w:r w:rsidR="00FA0A79" w:rsidRPr="00FA0A79">
        <w:rPr>
          <w:rFonts w:cs="Arial"/>
          <w:color w:val="000000"/>
          <w:lang w:eastAsia="de-CH"/>
        </w:rPr>
        <w:t>;</w:t>
      </w:r>
      <w:r w:rsidRPr="00730F3F">
        <w:rPr>
          <w:rFonts w:cs="Arial"/>
          <w:color w:val="000000"/>
          <w:lang w:eastAsia="de-CH"/>
        </w:rPr>
        <w:t xml:space="preserve"> indiquer le nombre </w:t>
      </w:r>
      <w:r w:rsidR="00FA0A79">
        <w:rPr>
          <w:rFonts w:cs="Arial"/>
          <w:color w:val="000000"/>
          <w:lang w:eastAsia="de-CH"/>
        </w:rPr>
        <w:t>de sondages</w:t>
      </w:r>
      <w:r>
        <w:rPr>
          <w:rFonts w:cs="Arial"/>
          <w:color w:val="000000"/>
          <w:lang w:eastAsia="de-CH"/>
        </w:rPr>
        <w:t>.</w:t>
      </w:r>
    </w:p>
    <w:p w14:paraId="52DECDA7" w14:textId="77777777" w:rsidR="00853CE8" w:rsidRPr="00DD2FC3" w:rsidRDefault="00DD2FC3" w:rsidP="00853CE8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color w:val="000000"/>
          <w:lang w:eastAsia="de-CH"/>
        </w:rPr>
      </w:pPr>
      <w:r w:rsidRPr="00DD2FC3">
        <w:rPr>
          <w:rFonts w:cs="Arial"/>
          <w:color w:val="000000"/>
          <w:lang w:eastAsia="de-CH"/>
        </w:rPr>
        <w:lastRenderedPageBreak/>
        <w:t>Vérification par sondages des</w:t>
      </w:r>
      <w:r w:rsidRPr="00730F3F">
        <w:rPr>
          <w:rFonts w:cs="Arial"/>
          <w:color w:val="000000"/>
          <w:lang w:eastAsia="de-CH"/>
        </w:rPr>
        <w:t xml:space="preserve"> prestations versées à l’aide des demandes et des données </w:t>
      </w:r>
      <w:r>
        <w:rPr>
          <w:rFonts w:cs="Arial"/>
          <w:color w:val="000000"/>
          <w:lang w:eastAsia="de-CH"/>
        </w:rPr>
        <w:t>entrées dans le</w:t>
      </w:r>
      <w:r w:rsidRPr="00730F3F">
        <w:rPr>
          <w:rFonts w:cs="Arial"/>
          <w:color w:val="000000"/>
          <w:lang w:eastAsia="de-CH"/>
        </w:rPr>
        <w:t xml:space="preserve"> système d’information ; indiquer le nombre de sondages</w:t>
      </w:r>
      <w:r>
        <w:rPr>
          <w:rFonts w:cs="Arial"/>
          <w:color w:val="000000"/>
          <w:lang w:eastAsia="de-CH"/>
        </w:rPr>
        <w:t>.</w:t>
      </w:r>
    </w:p>
    <w:p w14:paraId="4884741B" w14:textId="77777777" w:rsidR="00853CE8" w:rsidRPr="008E48B7" w:rsidRDefault="00A27590" w:rsidP="00853CE8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color w:val="000000"/>
          <w:lang w:eastAsia="de-CH"/>
        </w:rPr>
      </w:pPr>
      <w:r w:rsidRPr="00A27590">
        <w:rPr>
          <w:rFonts w:cs="Arial"/>
          <w:color w:val="000000"/>
          <w:lang w:eastAsia="de-CH"/>
        </w:rPr>
        <w:t>Contr</w:t>
      </w:r>
      <w:r w:rsidRPr="00730F3F">
        <w:rPr>
          <w:rFonts w:cs="Arial"/>
          <w:color w:val="000000"/>
          <w:lang w:eastAsia="de-CH"/>
        </w:rPr>
        <w:t>ôle du flux financier entre l</w:t>
      </w:r>
      <w:r w:rsidRPr="00A27590">
        <w:rPr>
          <w:rFonts w:cs="Arial"/>
          <w:color w:val="000000"/>
          <w:lang w:eastAsia="de-CH"/>
        </w:rPr>
        <w:t>a Confédération, le canton et les a</w:t>
      </w:r>
      <w:r>
        <w:rPr>
          <w:rFonts w:cs="Arial"/>
          <w:color w:val="000000"/>
          <w:lang w:eastAsia="de-CH"/>
        </w:rPr>
        <w:t>yants droit ou les assureurs-maladie</w:t>
      </w:r>
      <w:r w:rsidR="008E48B7">
        <w:rPr>
          <w:rFonts w:cs="Arial"/>
          <w:color w:val="000000"/>
          <w:lang w:eastAsia="de-CH"/>
        </w:rPr>
        <w:t> ; indiquer le nombre de sondages</w:t>
      </w:r>
      <w:r w:rsidR="00853CE8" w:rsidRPr="008E48B7">
        <w:rPr>
          <w:rFonts w:cs="Arial"/>
          <w:color w:val="000000"/>
          <w:lang w:eastAsia="de-CH"/>
        </w:rPr>
        <w:t>.</w:t>
      </w:r>
    </w:p>
    <w:p w14:paraId="1C6713FD" w14:textId="70729F12" w:rsidR="00853CE8" w:rsidRPr="000F33F3" w:rsidRDefault="008E48B7" w:rsidP="00853CE8">
      <w:pPr>
        <w:pStyle w:val="Listenabsatz"/>
        <w:numPr>
          <w:ilvl w:val="0"/>
          <w:numId w:val="19"/>
        </w:numPr>
        <w:spacing w:line="240" w:lineRule="auto"/>
        <w:ind w:left="426"/>
        <w:jc w:val="both"/>
        <w:rPr>
          <w:rFonts w:cs="Arial"/>
          <w:lang w:eastAsia="de-CH"/>
        </w:rPr>
      </w:pPr>
      <w:r w:rsidRPr="00730F3F">
        <w:rPr>
          <w:rFonts w:cs="Arial"/>
          <w:color w:val="000000"/>
          <w:lang w:eastAsia="de-CH"/>
        </w:rPr>
        <w:t xml:space="preserve">Contrôle de la concordance </w:t>
      </w:r>
      <w:r w:rsidR="007D0377">
        <w:rPr>
          <w:rFonts w:cs="Arial"/>
          <w:color w:val="000000"/>
          <w:lang w:eastAsia="de-CH"/>
        </w:rPr>
        <w:t xml:space="preserve">du </w:t>
      </w:r>
      <w:r w:rsidR="007D0377" w:rsidRPr="007D0377">
        <w:rPr>
          <w:rFonts w:cs="Arial"/>
          <w:color w:val="000000"/>
          <w:lang w:eastAsia="de-CH"/>
        </w:rPr>
        <w:t>compte</w:t>
      </w:r>
      <w:r w:rsidRPr="00730F3F">
        <w:rPr>
          <w:rFonts w:cs="Arial"/>
          <w:color w:val="000000"/>
          <w:lang w:eastAsia="de-CH"/>
        </w:rPr>
        <w:t xml:space="preserve"> d’</w:t>
      </w:r>
      <w:r w:rsidR="000F33F3" w:rsidRPr="007D0377">
        <w:rPr>
          <w:rFonts w:cs="Arial"/>
          <w:color w:val="000000"/>
          <w:lang w:eastAsia="de-CH"/>
        </w:rPr>
        <w:t>É</w:t>
      </w:r>
      <w:r w:rsidRPr="00730F3F">
        <w:rPr>
          <w:rFonts w:cs="Arial"/>
          <w:color w:val="000000"/>
          <w:lang w:eastAsia="de-CH"/>
        </w:rPr>
        <w:t>tat et du formulaire</w:t>
      </w:r>
      <w:r w:rsidR="000F33F3">
        <w:rPr>
          <w:rFonts w:cs="Arial"/>
          <w:color w:val="000000"/>
          <w:lang w:eastAsia="de-CH"/>
        </w:rPr>
        <w:t xml:space="preserve"> PV 12 avec la comptabilité du ca</w:t>
      </w:r>
      <w:r w:rsidR="00567750">
        <w:rPr>
          <w:rFonts w:cs="Arial"/>
          <w:color w:val="000000"/>
          <w:lang w:eastAsia="de-CH"/>
        </w:rPr>
        <w:t>nton ou</w:t>
      </w:r>
      <w:r w:rsidR="000F33F3">
        <w:rPr>
          <w:rFonts w:cs="Arial"/>
          <w:color w:val="000000"/>
          <w:lang w:eastAsia="de-CH"/>
        </w:rPr>
        <w:t xml:space="preserve"> de l’organe d’exécution.</w:t>
      </w:r>
    </w:p>
    <w:p w14:paraId="3976A521" w14:textId="77777777" w:rsidR="00853CE8" w:rsidRDefault="00567750" w:rsidP="00853CE8">
      <w:pPr>
        <w:pStyle w:val="Listenabsatz"/>
        <w:numPr>
          <w:ilvl w:val="0"/>
          <w:numId w:val="19"/>
        </w:numPr>
        <w:spacing w:line="240" w:lineRule="auto"/>
        <w:ind w:left="426"/>
        <w:jc w:val="both"/>
        <w:rPr>
          <w:rFonts w:cs="Arial"/>
          <w:lang w:eastAsia="de-CH"/>
        </w:rPr>
      </w:pPr>
      <w:bookmarkStart w:id="5" w:name="OLE_LINK1"/>
      <w:r w:rsidRPr="00730F3F">
        <w:rPr>
          <w:rFonts w:cs="Arial"/>
          <w:lang w:eastAsia="de-CH"/>
        </w:rPr>
        <w:t>Poste</w:t>
      </w:r>
      <w:r>
        <w:rPr>
          <w:rFonts w:cs="Arial"/>
          <w:lang w:eastAsia="de-CH"/>
        </w:rPr>
        <w:t>s</w:t>
      </w:r>
      <w:r w:rsidRPr="00730F3F">
        <w:rPr>
          <w:rFonts w:cs="Arial"/>
          <w:lang w:eastAsia="de-CH"/>
        </w:rPr>
        <w:t xml:space="preserve"> de régularisation</w:t>
      </w:r>
      <w:r w:rsidR="00853CE8" w:rsidRPr="00567750">
        <w:rPr>
          <w:rFonts w:cs="Arial"/>
          <w:lang w:eastAsia="de-CH"/>
        </w:rPr>
        <w:t xml:space="preserve"> </w:t>
      </w:r>
      <w:bookmarkEnd w:id="5"/>
      <w:r w:rsidRPr="00730F3F">
        <w:rPr>
          <w:rFonts w:cs="Arial"/>
          <w:lang w:eastAsia="de-CH"/>
        </w:rPr>
        <w:t>réduction de primes</w:t>
      </w:r>
      <w:r w:rsidR="00853CE8" w:rsidRPr="00567750">
        <w:rPr>
          <w:rFonts w:cs="Arial"/>
          <w:lang w:eastAsia="de-CH"/>
        </w:rPr>
        <w:t xml:space="preserve"> (</w:t>
      </w:r>
      <w:r>
        <w:rPr>
          <w:rFonts w:cs="Arial"/>
          <w:lang w:eastAsia="de-CH"/>
        </w:rPr>
        <w:t>d</w:t>
      </w:r>
      <w:r w:rsidR="00060E0D">
        <w:rPr>
          <w:rFonts w:cs="Arial"/>
          <w:lang w:eastAsia="de-CH"/>
        </w:rPr>
        <w:t>écompte et versement</w:t>
      </w:r>
      <w:r w:rsidR="00853CE8" w:rsidRPr="00567750">
        <w:rPr>
          <w:rFonts w:cs="Arial"/>
          <w:lang w:eastAsia="de-CH"/>
        </w:rPr>
        <w:t>).</w:t>
      </w:r>
    </w:p>
    <w:p w14:paraId="17A9C320" w14:textId="77777777" w:rsidR="00B02A8F" w:rsidRDefault="00B02A8F" w:rsidP="00730F3F">
      <w:pPr>
        <w:spacing w:line="240" w:lineRule="auto"/>
        <w:ind w:left="66"/>
        <w:jc w:val="both"/>
        <w:rPr>
          <w:rFonts w:cs="Arial"/>
          <w:lang w:eastAsia="de-CH"/>
        </w:rPr>
      </w:pPr>
    </w:p>
    <w:p w14:paraId="66AF57D2" w14:textId="77777777" w:rsidR="00B02A8F" w:rsidRDefault="00B02A8F" w:rsidP="00730F3F">
      <w:pPr>
        <w:spacing w:line="240" w:lineRule="auto"/>
        <w:ind w:left="66"/>
        <w:jc w:val="both"/>
        <w:rPr>
          <w:rFonts w:cs="Arial"/>
          <w:lang w:eastAsia="de-CH"/>
        </w:rPr>
      </w:pPr>
    </w:p>
    <w:p w14:paraId="6FC91224" w14:textId="6EDFFC83" w:rsidR="00B02A8F" w:rsidRPr="007C6733" w:rsidRDefault="00B02A8F" w:rsidP="00730F3F">
      <w:pPr>
        <w:spacing w:line="240" w:lineRule="auto"/>
        <w:ind w:left="66"/>
        <w:jc w:val="both"/>
        <w:rPr>
          <w:rFonts w:cs="Arial"/>
          <w:i/>
          <w:iCs/>
          <w:lang w:eastAsia="de-CH"/>
        </w:rPr>
      </w:pPr>
      <w:r w:rsidRPr="007C6733">
        <w:rPr>
          <w:rFonts w:cs="Arial"/>
          <w:i/>
          <w:iCs/>
          <w:lang w:eastAsia="de-CH"/>
        </w:rPr>
        <w:t>En raison de certaines prescriptions cantonales, nous avons procédé à des vérifications supplémentaires (cf. 2.4).</w:t>
      </w:r>
    </w:p>
    <w:p w14:paraId="36382E4E" w14:textId="77777777" w:rsidR="0046573D" w:rsidRPr="0046573D" w:rsidRDefault="00FC2EE7" w:rsidP="0046573D">
      <w:pPr>
        <w:pStyle w:val="berschrift1"/>
        <w:numPr>
          <w:ilvl w:val="0"/>
          <w:numId w:val="1"/>
        </w:numPr>
      </w:pPr>
      <w:bookmarkStart w:id="6" w:name="_Toc114844776"/>
      <w:r>
        <w:t>Synthèse du résultat du contrôle</w:t>
      </w:r>
      <w:bookmarkEnd w:id="6"/>
    </w:p>
    <w:p w14:paraId="245548A5" w14:textId="7265A2C7" w:rsidR="0046573D" w:rsidRPr="007C6733" w:rsidRDefault="0046573D" w:rsidP="00730F3F">
      <w:pPr>
        <w:pStyle w:val="FINMAStandardAbsatz"/>
        <w:rPr>
          <w:i/>
          <w:iCs/>
          <w:lang w:eastAsia="de-CH"/>
        </w:rPr>
      </w:pPr>
      <w:r w:rsidRPr="007C6733">
        <w:rPr>
          <w:i/>
          <w:iCs/>
          <w:lang w:eastAsia="de-CH"/>
        </w:rPr>
        <w:t>Lorsque le « oui » est indiqué dans la confirmation,</w:t>
      </w:r>
      <w:r w:rsidR="007D0377" w:rsidRPr="007C6733">
        <w:rPr>
          <w:i/>
          <w:iCs/>
          <w:lang w:eastAsia="de-CH"/>
        </w:rPr>
        <w:t xml:space="preserve"> </w:t>
      </w:r>
      <w:r w:rsidR="00060E0D" w:rsidRPr="007C6733">
        <w:rPr>
          <w:i/>
          <w:iCs/>
          <w:lang w:eastAsia="de-CH"/>
        </w:rPr>
        <w:t>aucune constatation de vérification négative</w:t>
      </w:r>
      <w:r w:rsidRPr="007C6733">
        <w:rPr>
          <w:i/>
          <w:iCs/>
          <w:lang w:eastAsia="de-CH"/>
        </w:rPr>
        <w:t xml:space="preserve"> à ce sujet </w:t>
      </w:r>
      <w:r w:rsidR="00105B87" w:rsidRPr="007C6733">
        <w:rPr>
          <w:i/>
          <w:iCs/>
          <w:lang w:eastAsia="de-CH"/>
        </w:rPr>
        <w:t xml:space="preserve">n’a été faite </w:t>
      </w:r>
      <w:r w:rsidRPr="007C6733">
        <w:rPr>
          <w:i/>
          <w:iCs/>
          <w:lang w:eastAsia="de-CH"/>
        </w:rPr>
        <w:t>dans le cadre des procédures de vérification susmentionnées.</w:t>
      </w:r>
    </w:p>
    <w:p w14:paraId="76D0A167" w14:textId="77777777" w:rsidR="00AC5C39" w:rsidRDefault="00FC2EE7">
      <w:pPr>
        <w:pStyle w:val="berschrift2"/>
        <w:rPr>
          <w:sz w:val="24"/>
          <w:szCs w:val="24"/>
        </w:rPr>
      </w:pPr>
      <w:bookmarkStart w:id="7" w:name="_Toc114844777"/>
      <w:r>
        <w:rPr>
          <w:sz w:val="24"/>
        </w:rPr>
        <w:t>Évaluation du système de contrôle interne (SCI)</w:t>
      </w:r>
      <w:bookmarkEnd w:id="7"/>
    </w:p>
    <w:p w14:paraId="3CCCE6DA" w14:textId="62D99896" w:rsidR="00AC5C39" w:rsidRPr="007C6733" w:rsidRDefault="00FC2EE7">
      <w:pPr>
        <w:pStyle w:val="FINMAStandardAbsatz"/>
        <w:rPr>
          <w:iCs/>
        </w:rPr>
      </w:pPr>
      <w:r w:rsidRPr="007C6733">
        <w:rPr>
          <w:iCs/>
        </w:rPr>
        <w:t>Évaluation du SCI concernant la désignation des bénéficiaires, la vérification du calcul de la réduction de primes et le versement de ce montant à l’assureur dans le cadre de l’assurance-maladie.</w:t>
      </w: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651"/>
        <w:gridCol w:w="657"/>
        <w:gridCol w:w="3450"/>
      </w:tblGrid>
      <w:tr w:rsidR="00AC5C39" w14:paraId="3CB724AE" w14:textId="77777777">
        <w:trPr>
          <w:trHeight w:val="1054"/>
          <w:tblHeader/>
        </w:trPr>
        <w:tc>
          <w:tcPr>
            <w:tcW w:w="23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BC10B8B" w14:textId="77777777" w:rsidR="00AC5C39" w:rsidRDefault="00FC2EE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Domaines audités</w:t>
            </w:r>
          </w:p>
          <w:p w14:paraId="57E49EDF" w14:textId="77777777" w:rsidR="00AC5C39" w:rsidRDefault="00AC5C3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78AFC6DF" w14:textId="77777777" w:rsidR="00AC5C39" w:rsidRDefault="00FC2EE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Système de contrôle interne (SCI)</w:t>
            </w:r>
          </w:p>
          <w:p w14:paraId="0A6D4E81" w14:textId="77777777" w:rsidR="00AC5C39" w:rsidRDefault="00FC2EE7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1E695726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Confirmation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A410DB1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Commentaire obligatoire si aucune confirmation n’est possible</w:t>
            </w:r>
          </w:p>
        </w:tc>
      </w:tr>
      <w:tr w:rsidR="00AC5C39" w14:paraId="5156AABD" w14:textId="77777777">
        <w:trPr>
          <w:trHeight w:val="417"/>
          <w:tblHeader/>
        </w:trPr>
        <w:tc>
          <w:tcPr>
            <w:tcW w:w="2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906F7D5" w14:textId="77777777" w:rsidR="00AC5C39" w:rsidRDefault="00AC5C39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B5E914C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oui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5F91887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non</w:t>
            </w:r>
            <w:proofErr w:type="gramEnd"/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02EE010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C5C39" w14:paraId="140DEC23" w14:textId="77777777">
        <w:trPr>
          <w:trHeight w:val="668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10847" w14:textId="77777777" w:rsidR="00AC5C39" w:rsidRDefault="00FC2EE7">
            <w:pPr>
              <w:rPr>
                <w:rFonts w:cs="Arial"/>
                <w:color w:val="000000"/>
              </w:rPr>
            </w:pPr>
            <w:r>
              <w:t xml:space="preserve">Nous confirmons l’existence </w:t>
            </w:r>
            <w:proofErr w:type="gramStart"/>
            <w:r>
              <w:t>d’un SCI adapté et documenté</w:t>
            </w:r>
            <w:proofErr w:type="gramEnd"/>
            <w:r>
              <w:t>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749AF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99C3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1A9DA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5AAFF69B" w14:textId="77777777">
        <w:trPr>
          <w:trHeight w:val="820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8A951" w14:textId="77777777" w:rsidR="00AC5C39" w:rsidRDefault="00FC2EE7">
            <w:pPr>
              <w:rPr>
                <w:rFonts w:cs="Arial"/>
                <w:color w:val="000000"/>
              </w:rPr>
            </w:pPr>
            <w:r>
              <w:t>Nos mesures de contrôle n’ont permis d’identifier aucun élément nous poussant à conclure à un manque d’efficacité du SCI.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487E1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D9B87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46D3F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B9487BB" w14:textId="77777777" w:rsidR="00AC5C39" w:rsidRDefault="00AC5C39" w:rsidP="006F266C">
      <w:pPr>
        <w:pStyle w:val="berschrift2"/>
        <w:numPr>
          <w:ilvl w:val="0"/>
          <w:numId w:val="0"/>
        </w:numPr>
        <w:spacing w:before="0"/>
        <w:ind w:left="578"/>
        <w:rPr>
          <w:sz w:val="24"/>
          <w:szCs w:val="24"/>
        </w:rPr>
      </w:pPr>
    </w:p>
    <w:p w14:paraId="7C27C83A" w14:textId="0EA705C6" w:rsidR="00AC5C39" w:rsidRDefault="00FC2EE7">
      <w:pPr>
        <w:pStyle w:val="berschrift2"/>
        <w:rPr>
          <w:sz w:val="24"/>
          <w:szCs w:val="24"/>
        </w:rPr>
      </w:pPr>
      <w:bookmarkStart w:id="8" w:name="_Toc114844778"/>
      <w:r>
        <w:rPr>
          <w:sz w:val="24"/>
        </w:rPr>
        <w:t xml:space="preserve">Confirmations des dispositions légales pour l’exercice </w:t>
      </w:r>
      <w:proofErr w:type="spellStart"/>
      <w:r w:rsidRPr="00730F3F">
        <w:rPr>
          <w:sz w:val="24"/>
          <w:highlight w:val="yellow"/>
        </w:rPr>
        <w:t>20XX</w:t>
      </w:r>
      <w:bookmarkEnd w:id="8"/>
      <w:proofErr w:type="spellEnd"/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652"/>
        <w:gridCol w:w="657"/>
        <w:gridCol w:w="3450"/>
      </w:tblGrid>
      <w:tr w:rsidR="00AC5C39" w14:paraId="10D56702" w14:textId="77777777">
        <w:trPr>
          <w:trHeight w:val="1054"/>
          <w:tblHeader/>
        </w:trPr>
        <w:tc>
          <w:tcPr>
            <w:tcW w:w="23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D395B39" w14:textId="77777777" w:rsidR="00AC5C39" w:rsidRDefault="00FC2EE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Domaines audités</w:t>
            </w:r>
          </w:p>
          <w:p w14:paraId="3C6D60D1" w14:textId="77777777" w:rsidR="00AC5C39" w:rsidRDefault="00AC5C3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4B27F3DD" w14:textId="77777777" w:rsidR="00AC5C39" w:rsidRDefault="00FC2EE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Dispositions légales</w:t>
            </w:r>
          </w:p>
          <w:p w14:paraId="56C33921" w14:textId="77777777" w:rsidR="00AC5C39" w:rsidRDefault="00FC2EE7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1A738AA5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Confirmation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D9AA5BF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Commentaire obligatoire si aucune confirmation n’est possible</w:t>
            </w:r>
          </w:p>
        </w:tc>
      </w:tr>
      <w:tr w:rsidR="00AC5C39" w14:paraId="71338797" w14:textId="77777777">
        <w:trPr>
          <w:trHeight w:val="417"/>
          <w:tblHeader/>
        </w:trPr>
        <w:tc>
          <w:tcPr>
            <w:tcW w:w="23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5DD6A4D" w14:textId="77777777" w:rsidR="00AC5C39" w:rsidRDefault="00AC5C39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A43FD1C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oui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D522604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non</w:t>
            </w:r>
            <w:proofErr w:type="gramEnd"/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3893141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C5C39" w14:paraId="493207CB" w14:textId="77777777">
        <w:trPr>
          <w:trHeight w:val="912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5AB28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Sur la base de nos mesures de contrôle, rien n’indique que l’art. 65, al. 1, </w:t>
            </w:r>
            <w:proofErr w:type="spellStart"/>
            <w:r>
              <w:rPr>
                <w:color w:val="000000"/>
              </w:rPr>
              <w:t>LAMal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2E12F3">
              <w:rPr>
                <w:color w:val="000000"/>
              </w:rPr>
              <w:t xml:space="preserve"> (Versement </w:t>
            </w:r>
            <w:r w:rsidR="00BB3016">
              <w:rPr>
                <w:color w:val="000000"/>
              </w:rPr>
              <w:t xml:space="preserve">du montant </w:t>
            </w:r>
            <w:r w:rsidR="002E12F3">
              <w:rPr>
                <w:color w:val="000000"/>
              </w:rPr>
              <w:t>de la réduction de prime à l’assureur)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40EBF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A0D5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4F759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5C67AA5F" w14:textId="7777777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1D755" w14:textId="77777777" w:rsidR="00AC5C39" w:rsidRDefault="00FC2EE7" w:rsidP="002E12F3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lastRenderedPageBreak/>
              <w:t xml:space="preserve">Sur la base de nos mesures de contrôle, rien n’indique que l’art. 65, al. </w:t>
            </w:r>
            <w:proofErr w:type="spellStart"/>
            <w:r>
              <w:rPr>
                <w:color w:val="000000"/>
              </w:rPr>
              <w:t>1bis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LAMal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2E12F3">
              <w:rPr>
                <w:color w:val="000000"/>
              </w:rPr>
              <w:t xml:space="preserve"> (Réduction </w:t>
            </w:r>
            <w:r w:rsidR="002E12F3">
              <w:t xml:space="preserve">de 80 % au moins des primes des enfants et de 50 % </w:t>
            </w:r>
            <w:r w:rsidR="009A31AE">
              <w:t>au moins d</w:t>
            </w:r>
            <w:r w:rsidR="002E12F3">
              <w:t>es primes des jeunes adultes en formation</w:t>
            </w:r>
            <w:r w:rsidR="002E12F3">
              <w:rPr>
                <w:color w:val="000000"/>
              </w:rPr>
              <w:t xml:space="preserve"> </w:t>
            </w:r>
            <w:r w:rsidR="005F19BA">
              <w:rPr>
                <w:color w:val="000000"/>
              </w:rPr>
              <w:t xml:space="preserve">pour les </w:t>
            </w:r>
            <w:r w:rsidR="002E12F3">
              <w:rPr>
                <w:color w:val="000000"/>
              </w:rPr>
              <w:t>bas et moyen revenu</w:t>
            </w:r>
            <w:r w:rsidR="005F19BA">
              <w:rPr>
                <w:color w:val="000000"/>
              </w:rPr>
              <w:t>s</w:t>
            </w:r>
            <w:r w:rsidR="002E12F3">
              <w:rPr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E9087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B4AD0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1B0C7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6FD466FC" w14:textId="7777777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FD475" w14:textId="2C853B8B" w:rsidR="00AC5C39" w:rsidRDefault="00FC2EE7" w:rsidP="007A21A7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 xml:space="preserve">Sur la base de nos mesures de contrôle, rien n’indique que l’art. 65, al. 2, </w:t>
            </w:r>
            <w:proofErr w:type="spellStart"/>
            <w:r>
              <w:rPr>
                <w:color w:val="000000"/>
              </w:rPr>
              <w:t>LAMal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2E12F3">
              <w:rPr>
                <w:color w:val="000000"/>
              </w:rPr>
              <w:t xml:space="preserve"> </w:t>
            </w:r>
            <w:r w:rsidR="007A21A7">
              <w:rPr>
                <w:color w:val="000000"/>
              </w:rPr>
              <w:t>(Échange de données entre cantons et assureurs selon une procédure uniforme</w:t>
            </w:r>
            <w:r w:rsidR="00920A7C">
              <w:rPr>
                <w:color w:val="000000"/>
              </w:rPr>
              <w:t xml:space="preserve"> pre</w:t>
            </w:r>
            <w:r w:rsidR="008220CD">
              <w:rPr>
                <w:color w:val="000000"/>
              </w:rPr>
              <w:t>s</w:t>
            </w:r>
            <w:r w:rsidR="00920A7C">
              <w:rPr>
                <w:color w:val="000000"/>
              </w:rPr>
              <w:t>crite par le Conseil fédéral</w:t>
            </w:r>
            <w:r w:rsidR="007A21A7">
              <w:rPr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64D17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85B3A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07AD0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3DD18061" w14:textId="7777777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FC131" w14:textId="1C47D7FB" w:rsidR="00AC5C39" w:rsidRDefault="00FC2EE7" w:rsidP="00E81671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 xml:space="preserve">Sur la base de nos mesures de contrôle, rien n’indique que l’art. 65, al. 3, </w:t>
            </w:r>
            <w:proofErr w:type="spellStart"/>
            <w:r>
              <w:rPr>
                <w:color w:val="000000"/>
              </w:rPr>
              <w:t>LAMal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920A7C">
              <w:rPr>
                <w:color w:val="000000"/>
              </w:rPr>
              <w:t xml:space="preserve"> (</w:t>
            </w:r>
            <w:r w:rsidR="00D31F36">
              <w:rPr>
                <w:color w:val="000000"/>
              </w:rPr>
              <w:t>E</w:t>
            </w:r>
            <w:r w:rsidR="007831FA">
              <w:rPr>
                <w:color w:val="000000"/>
              </w:rPr>
              <w:t>xamen</w:t>
            </w:r>
            <w:r w:rsidR="00920A7C">
              <w:rPr>
                <w:color w:val="000000"/>
              </w:rPr>
              <w:t xml:space="preserve"> des conditions </w:t>
            </w:r>
            <w:r w:rsidR="007831FA">
              <w:rPr>
                <w:color w:val="000000"/>
              </w:rPr>
              <w:t>d</w:t>
            </w:r>
            <w:r w:rsidR="005362BC">
              <w:rPr>
                <w:color w:val="000000"/>
              </w:rPr>
              <w:t>’octroi pr</w:t>
            </w:r>
            <w:r w:rsidR="007831FA">
              <w:rPr>
                <w:color w:val="000000"/>
              </w:rPr>
              <w:t>e</w:t>
            </w:r>
            <w:r w:rsidR="005362BC">
              <w:rPr>
                <w:color w:val="000000"/>
              </w:rPr>
              <w:t xml:space="preserve">scrites par le canton et </w:t>
            </w:r>
            <w:r w:rsidR="00E81671">
              <w:rPr>
                <w:color w:val="000000"/>
              </w:rPr>
              <w:t>versement</w:t>
            </w:r>
            <w:r w:rsidR="005362BC">
              <w:rPr>
                <w:color w:val="000000"/>
              </w:rPr>
              <w:t xml:space="preserve"> à l’assureur à temps)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34127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75287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5EB51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22B248DD" w14:textId="7777777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6F00B" w14:textId="74D6C291" w:rsidR="00AC5C39" w:rsidRDefault="00FC2EE7" w:rsidP="005362BC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 xml:space="preserve">Sur la base de nos mesures de contrôle, rien n’indique que l’art. 65, al. 4, </w:t>
            </w:r>
            <w:proofErr w:type="spellStart"/>
            <w:r>
              <w:rPr>
                <w:color w:val="000000"/>
              </w:rPr>
              <w:t>LAMal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5362BC">
              <w:rPr>
                <w:color w:val="000000"/>
              </w:rPr>
              <w:t xml:space="preserve"> (Obligation</w:t>
            </w:r>
            <w:r w:rsidR="00D31F36">
              <w:rPr>
                <w:color w:val="000000"/>
              </w:rPr>
              <w:t xml:space="preserve"> pour les cantons</w:t>
            </w:r>
            <w:r w:rsidR="005362BC">
              <w:rPr>
                <w:color w:val="000000"/>
              </w:rPr>
              <w:t xml:space="preserve"> d’informer les assur</w:t>
            </w:r>
            <w:r w:rsidR="00D31F36">
              <w:rPr>
                <w:color w:val="000000"/>
              </w:rPr>
              <w:t>é</w:t>
            </w:r>
            <w:r w:rsidR="005362BC">
              <w:rPr>
                <w:color w:val="000000"/>
              </w:rPr>
              <w:t>s)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39191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42AAA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57E11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252443B0" w14:textId="7777777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21556" w14:textId="6DF323DE" w:rsidR="00AC5C39" w:rsidRDefault="00FC2EE7" w:rsidP="005362BC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 xml:space="preserve">Sur la base de nos mesures de contrôle, rien n’indique que l’art. 65, al. </w:t>
            </w:r>
            <w:proofErr w:type="spellStart"/>
            <w:r>
              <w:rPr>
                <w:color w:val="000000"/>
              </w:rPr>
              <w:t>4bis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LAMal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5362BC">
              <w:rPr>
                <w:color w:val="000000"/>
              </w:rPr>
              <w:t xml:space="preserve"> (</w:t>
            </w:r>
            <w:r w:rsidR="00D31F36">
              <w:rPr>
                <w:color w:val="000000"/>
              </w:rPr>
              <w:t>U</w:t>
            </w:r>
            <w:r w:rsidR="005362BC">
              <w:rPr>
                <w:color w:val="000000"/>
              </w:rPr>
              <w:t xml:space="preserve">niquement les communications </w:t>
            </w:r>
            <w:r w:rsidR="006F4650">
              <w:rPr>
                <w:color w:val="000000"/>
              </w:rPr>
              <w:t>aux assureurs à temps)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94FEB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BD5BF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3BF06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0D45AB25" w14:textId="7777777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5902C" w14:textId="23B3EAC5" w:rsidR="00AC5C39" w:rsidRDefault="00FC2EE7" w:rsidP="00E81671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 xml:space="preserve">Sur la base de nos mesures de contrôle, rien n’indique que l’art. </w:t>
            </w:r>
            <w:proofErr w:type="spellStart"/>
            <w:r>
              <w:rPr>
                <w:color w:val="000000"/>
              </w:rPr>
              <w:t>65a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LAMal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E81671">
              <w:rPr>
                <w:color w:val="000000"/>
              </w:rPr>
              <w:t xml:space="preserve"> (Réduction de prime </w:t>
            </w:r>
            <w:r w:rsidR="00D31F36">
              <w:rPr>
                <w:color w:val="000000"/>
              </w:rPr>
              <w:t>en faveur des</w:t>
            </w:r>
            <w:r w:rsidR="00E81671">
              <w:rPr>
                <w:color w:val="000000"/>
              </w:rPr>
              <w:t xml:space="preserve"> </w:t>
            </w:r>
            <w:r w:rsidR="006F4650">
              <w:rPr>
                <w:color w:val="000000"/>
              </w:rPr>
              <w:t xml:space="preserve">assurés </w:t>
            </w:r>
            <w:r w:rsidR="00E81671">
              <w:rPr>
                <w:color w:val="000000"/>
              </w:rPr>
              <w:t>qui résident</w:t>
            </w:r>
            <w:r w:rsidR="006F4650">
              <w:rPr>
                <w:color w:val="000000"/>
              </w:rPr>
              <w:t xml:space="preserve"> dans un </w:t>
            </w:r>
            <w:r w:rsidR="00E81671">
              <w:rPr>
                <w:color w:val="000000"/>
              </w:rPr>
              <w:t>État</w:t>
            </w:r>
            <w:r w:rsidR="006F4650">
              <w:rPr>
                <w:color w:val="000000"/>
              </w:rPr>
              <w:t xml:space="preserve"> membre de l’UE, en Islande ou en No</w:t>
            </w:r>
            <w:r w:rsidR="008220CD">
              <w:rPr>
                <w:color w:val="000000"/>
              </w:rPr>
              <w:t>r</w:t>
            </w:r>
            <w:r w:rsidR="006F4650">
              <w:rPr>
                <w:color w:val="000000"/>
              </w:rPr>
              <w:t>vège)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8F500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D524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CC59C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51E6A9C6" w14:textId="7777777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36A21" w14:textId="68E8D66C" w:rsidR="00AC5C39" w:rsidRPr="0088293B" w:rsidRDefault="00FC2EE7" w:rsidP="00E81671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 xml:space="preserve">Sur la base de nos mesures de contrôle, rien n’indique que l’art. 5, </w:t>
            </w:r>
            <w:proofErr w:type="spellStart"/>
            <w:r>
              <w:rPr>
                <w:color w:val="000000"/>
              </w:rPr>
              <w:t>ORPM</w:t>
            </w:r>
            <w:proofErr w:type="spellEnd"/>
            <w:r>
              <w:rPr>
                <w:color w:val="000000"/>
              </w:rPr>
              <w:t xml:space="preserve"> n’a pas été respecté.</w:t>
            </w:r>
            <w:r w:rsidR="00D31F36">
              <w:rPr>
                <w:color w:val="000000"/>
              </w:rPr>
              <w:t xml:space="preserve"> </w:t>
            </w:r>
            <w:r w:rsidR="006F4650">
              <w:rPr>
                <w:color w:val="000000"/>
              </w:rPr>
              <w:t xml:space="preserve">(Obligation de décompte des cantons ; </w:t>
            </w:r>
            <w:r w:rsidR="00E81671">
              <w:t>soumission des formulaires au plus tard le 30 juin de l’année suivante.</w:t>
            </w:r>
            <w:r w:rsidR="0088293B" w:rsidRPr="0088293B">
              <w:rPr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5CF7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A3590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5BA3D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C5C39" w14:paraId="2AF92CD2" w14:textId="77777777">
        <w:trPr>
          <w:trHeight w:val="820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BF530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Sur la base de nos mesures de contrôle, nous pouvons confirmer que les critères d’allocation de subvention</w:t>
            </w:r>
            <w:r>
              <w:rPr>
                <w:rStyle w:val="Funotenzeichen"/>
                <w:rFonts w:cs="Arial"/>
                <w:iCs/>
                <w:color w:val="000000"/>
              </w:rPr>
              <w:footnoteReference w:id="1"/>
            </w:r>
            <w:r>
              <w:rPr>
                <w:color w:val="000000"/>
              </w:rPr>
              <w:t xml:space="preserve"> ont été respectés, conformément aux dispositions légales propres à chaque canton.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9E742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9D15A" w14:textId="77777777" w:rsidR="00AC5C39" w:rsidRDefault="00AC5C3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145A2" w14:textId="77777777" w:rsidR="00AC5C39" w:rsidRDefault="00AC5C3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4394D61" w14:textId="77777777" w:rsidR="00AC5C39" w:rsidRDefault="00AC5C39">
      <w:pPr>
        <w:pStyle w:val="FINMAStandardAbsatz"/>
        <w:ind w:left="360"/>
        <w:rPr>
          <w:rFonts w:cs="Arial"/>
          <w:iCs/>
          <w:color w:val="000000"/>
        </w:rPr>
      </w:pPr>
    </w:p>
    <w:p w14:paraId="155A5AF5" w14:textId="77777777" w:rsidR="00AC5C39" w:rsidRPr="0062353A" w:rsidRDefault="00FC2EE7">
      <w:pPr>
        <w:pStyle w:val="berschrift2"/>
        <w:rPr>
          <w:sz w:val="24"/>
          <w:szCs w:val="24"/>
        </w:rPr>
      </w:pPr>
      <w:bookmarkStart w:id="9" w:name="_Toc114844779"/>
      <w:r w:rsidRPr="0062353A">
        <w:rPr>
          <w:sz w:val="24"/>
        </w:rPr>
        <w:lastRenderedPageBreak/>
        <w:t xml:space="preserve">Confirmations du décompte de la réduction de prime pour l’exercice </w:t>
      </w:r>
      <w:proofErr w:type="spellStart"/>
      <w:r w:rsidRPr="004C1B2B">
        <w:rPr>
          <w:sz w:val="24"/>
          <w:highlight w:val="yellow"/>
        </w:rPr>
        <w:t>20XX</w:t>
      </w:r>
      <w:bookmarkEnd w:id="9"/>
      <w:proofErr w:type="spellEnd"/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651"/>
        <w:gridCol w:w="657"/>
        <w:gridCol w:w="3450"/>
      </w:tblGrid>
      <w:tr w:rsidR="00AC5C39" w14:paraId="466E5F2A" w14:textId="77777777">
        <w:trPr>
          <w:trHeight w:val="1054"/>
          <w:tblHeader/>
        </w:trPr>
        <w:tc>
          <w:tcPr>
            <w:tcW w:w="23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6601EE1" w14:textId="77777777" w:rsidR="00AC5C39" w:rsidRDefault="00FC2EE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Domaines audités</w:t>
            </w:r>
          </w:p>
          <w:p w14:paraId="708D6837" w14:textId="77777777" w:rsidR="00AC5C39" w:rsidRDefault="00AC5C3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7BE3F4F2" w14:textId="77777777" w:rsidR="00AC5C39" w:rsidRDefault="00FC2EE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Décompte cantonal &amp; statistiques</w:t>
            </w:r>
          </w:p>
          <w:p w14:paraId="7338E890" w14:textId="77777777" w:rsidR="00AC5C39" w:rsidRDefault="00FC2EE7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693ED7DE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Confirmation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AEC4DB8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Commentaire obligatoire si aucune confirmation n’est possible</w:t>
            </w:r>
          </w:p>
        </w:tc>
      </w:tr>
      <w:tr w:rsidR="00AC5C39" w14:paraId="1570BF08" w14:textId="77777777" w:rsidTr="00F23B38">
        <w:trPr>
          <w:trHeight w:val="417"/>
          <w:tblHeader/>
        </w:trPr>
        <w:tc>
          <w:tcPr>
            <w:tcW w:w="2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345A780" w14:textId="77777777" w:rsidR="00AC5C39" w:rsidRDefault="00AC5C39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23799C9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oui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A13AE60" w14:textId="77777777" w:rsidR="00AC5C39" w:rsidRDefault="00FC2EE7">
            <w:pPr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non</w:t>
            </w:r>
            <w:proofErr w:type="gramEnd"/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0158A8B" w14:textId="77777777" w:rsidR="00AC5C39" w:rsidRDefault="00FC2EE7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C5C39" w14:paraId="2BF99D3C" w14:textId="77777777" w:rsidTr="00F23B38">
        <w:trPr>
          <w:trHeight w:val="975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D42CA" w14:textId="77777777" w:rsidR="00AC5C39" w:rsidRDefault="00FC2EE7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>Les subsides destinés à la réduction des primes d’assurance-maladie ont été calculés et versés correctement.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811A8" w14:textId="77777777" w:rsidR="00AC5C39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A1E71" w14:textId="77777777" w:rsidR="00AC5C39" w:rsidRPr="0062353A" w:rsidRDefault="00AC5C3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EA8AC" w14:textId="77777777" w:rsidR="00AC5C39" w:rsidRDefault="00AC5C39">
            <w:pPr>
              <w:rPr>
                <w:rFonts w:cs="Arial"/>
                <w:color w:val="000000"/>
              </w:rPr>
            </w:pPr>
          </w:p>
        </w:tc>
      </w:tr>
      <w:tr w:rsidR="00F23B38" w14:paraId="0A22F851" w14:textId="77777777" w:rsidTr="00F23B38">
        <w:trPr>
          <w:trHeight w:val="975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64BFF" w14:textId="77777777" w:rsidR="00F23B38" w:rsidRDefault="00F23B38" w:rsidP="00F23B38">
            <w:pPr>
              <w:rPr>
                <w:rFonts w:cs="Arial"/>
                <w:iCs/>
                <w:color w:val="000000"/>
              </w:rPr>
            </w:pPr>
            <w:r>
              <w:rPr>
                <w:color w:val="000000"/>
              </w:rPr>
              <w:t>Les chiffres du décompte (chiffres dans PV 1 du formulaire PV 12) concordent avec la comptabilité du canton.</w:t>
            </w:r>
          </w:p>
          <w:p w14:paraId="66FB25A1" w14:textId="00324DE1" w:rsidR="00F23B38" w:rsidRDefault="00F23B38" w:rsidP="00F23B38">
            <w:pPr>
              <w:rPr>
                <w:color w:val="000000"/>
              </w:rPr>
            </w:pPr>
            <w:r>
              <w:rPr>
                <w:color w:val="000000"/>
              </w:rPr>
              <w:t>Tout écart éventuel (délimitations, etc.) doit être renseigné dans les commentaires.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F72BF" w14:textId="77777777" w:rsidR="00F23B38" w:rsidRDefault="00F23B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1DA62" w14:textId="77777777" w:rsidR="00F23B38" w:rsidRDefault="00F23B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3C901" w14:textId="77777777" w:rsidR="00F23B38" w:rsidRDefault="00F23B38">
            <w:pPr>
              <w:rPr>
                <w:rFonts w:cs="Arial"/>
                <w:color w:val="000000"/>
              </w:rPr>
            </w:pPr>
          </w:p>
        </w:tc>
      </w:tr>
      <w:tr w:rsidR="00F23B38" w14:paraId="0E7D2788" w14:textId="77777777" w:rsidTr="00F23B38">
        <w:trPr>
          <w:trHeight w:val="975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1B094" w14:textId="136A6216" w:rsidR="00F23B38" w:rsidRDefault="00F23B38" w:rsidP="00F23B38">
            <w:pPr>
              <w:rPr>
                <w:color w:val="000000"/>
              </w:rPr>
            </w:pPr>
            <w:r>
              <w:rPr>
                <w:color w:val="000000"/>
              </w:rPr>
              <w:t xml:space="preserve">Les </w:t>
            </w:r>
            <w:r w:rsidRPr="00FA4DC5">
              <w:rPr>
                <w:color w:val="000000"/>
              </w:rPr>
              <w:t>subsides</w:t>
            </w:r>
            <w:r>
              <w:rPr>
                <w:color w:val="000000"/>
              </w:rPr>
              <w:t xml:space="preserve"> fédéraux ont été correctement comptabilisés dans la comptabilité du canton.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0089C" w14:textId="77777777" w:rsidR="00F23B38" w:rsidRDefault="00F23B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749A0" w14:textId="77777777" w:rsidR="00F23B38" w:rsidRDefault="00F23B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049D4" w14:textId="77777777" w:rsidR="00F23B38" w:rsidRDefault="00F23B38">
            <w:pPr>
              <w:rPr>
                <w:rFonts w:cs="Arial"/>
                <w:color w:val="000000"/>
              </w:rPr>
            </w:pPr>
          </w:p>
        </w:tc>
      </w:tr>
    </w:tbl>
    <w:p w14:paraId="5C10A4D9" w14:textId="77777777" w:rsidR="00AC5C39" w:rsidRDefault="00FC2EE7">
      <w:pPr>
        <w:pStyle w:val="berschrift2"/>
        <w:rPr>
          <w:sz w:val="24"/>
          <w:szCs w:val="24"/>
        </w:rPr>
      </w:pPr>
      <w:bookmarkStart w:id="10" w:name="_Toc114844780"/>
      <w:r>
        <w:rPr>
          <w:sz w:val="24"/>
        </w:rPr>
        <w:t xml:space="preserve">Autres remarques </w:t>
      </w:r>
      <w:r w:rsidR="004D09C2">
        <w:rPr>
          <w:sz w:val="24"/>
        </w:rPr>
        <w:t xml:space="preserve">/ confirmations </w:t>
      </w:r>
      <w:r>
        <w:rPr>
          <w:sz w:val="24"/>
        </w:rPr>
        <w:t>de l’organe de révision</w:t>
      </w:r>
      <w:bookmarkEnd w:id="10"/>
      <w:r>
        <w:rPr>
          <w:sz w:val="24"/>
        </w:rPr>
        <w:t xml:space="preserve"> </w:t>
      </w:r>
    </w:p>
    <w:p w14:paraId="0590FAFE" w14:textId="77777777" w:rsidR="00AC5C39" w:rsidRPr="00497AEF" w:rsidRDefault="004D09C2" w:rsidP="00730F3F">
      <w:pPr>
        <w:pStyle w:val="FINMAStandardAbsatz"/>
        <w:rPr>
          <w:i/>
        </w:rPr>
      </w:pPr>
      <w:r w:rsidRPr="00497AEF">
        <w:rPr>
          <w:i/>
        </w:rPr>
        <w:t xml:space="preserve">Cette partie peut être supprimée si les cantons ne font pas examiner des faits supplémentaires. </w:t>
      </w:r>
    </w:p>
    <w:p w14:paraId="72A7FBC8" w14:textId="582B22A1" w:rsidR="008F00AE" w:rsidRPr="00497AEF" w:rsidRDefault="008F00AE" w:rsidP="00730F3F">
      <w:pPr>
        <w:pStyle w:val="FINMAStandardAbsatz"/>
        <w:rPr>
          <w:i/>
        </w:rPr>
      </w:pPr>
      <w:r w:rsidRPr="00497AEF">
        <w:rPr>
          <w:i/>
        </w:rPr>
        <w:t xml:space="preserve">Il </w:t>
      </w:r>
      <w:r w:rsidR="00836155" w:rsidRPr="00497AEF">
        <w:rPr>
          <w:i/>
        </w:rPr>
        <w:t>est fréquen</w:t>
      </w:r>
      <w:r w:rsidRPr="00497AEF">
        <w:rPr>
          <w:i/>
        </w:rPr>
        <w:t>t que les organes d’ex</w:t>
      </w:r>
      <w:r w:rsidR="008220CD" w:rsidRPr="00497AEF">
        <w:rPr>
          <w:i/>
        </w:rPr>
        <w:t>é</w:t>
      </w:r>
      <w:r w:rsidRPr="00497AEF">
        <w:rPr>
          <w:i/>
        </w:rPr>
        <w:t>cution ainsi que leurs organes de supervision et les contrôle</w:t>
      </w:r>
      <w:r w:rsidR="007B7A1B" w:rsidRPr="00497AEF">
        <w:rPr>
          <w:i/>
        </w:rPr>
        <w:t>s</w:t>
      </w:r>
      <w:r w:rsidRPr="00497AEF">
        <w:rPr>
          <w:i/>
        </w:rPr>
        <w:t xml:space="preserve"> des finances des cantons aient des exigences supplémentaires concernant les rapports. </w:t>
      </w:r>
      <w:r w:rsidR="007B7A1B" w:rsidRPr="00497AEF">
        <w:rPr>
          <w:i/>
        </w:rPr>
        <w:t xml:space="preserve">En accord avec le canton, </w:t>
      </w:r>
      <w:r w:rsidR="00F4382F" w:rsidRPr="00497AEF">
        <w:rPr>
          <w:i/>
        </w:rPr>
        <w:t>c’est-à-dire</w:t>
      </w:r>
      <w:r w:rsidR="00F4382F" w:rsidRPr="00497AEF" w:rsidDel="00FA4DC5">
        <w:rPr>
          <w:i/>
        </w:rPr>
        <w:t xml:space="preserve"> </w:t>
      </w:r>
      <w:r w:rsidR="00F4382F" w:rsidRPr="00497AEF">
        <w:rPr>
          <w:i/>
        </w:rPr>
        <w:t xml:space="preserve">avec </w:t>
      </w:r>
      <w:r w:rsidR="007B7A1B" w:rsidRPr="00497AEF">
        <w:rPr>
          <w:i/>
        </w:rPr>
        <w:t>l’organe d’ex</w:t>
      </w:r>
      <w:r w:rsidR="008220CD" w:rsidRPr="00497AEF">
        <w:rPr>
          <w:i/>
        </w:rPr>
        <w:t>é</w:t>
      </w:r>
      <w:r w:rsidR="007B7A1B" w:rsidRPr="00497AEF">
        <w:rPr>
          <w:i/>
        </w:rPr>
        <w:t xml:space="preserve">cution (caisse de compensation), les organes de révision peuvent les recenser dans cette section. </w:t>
      </w:r>
      <w:r w:rsidR="00C21130" w:rsidRPr="00497AEF">
        <w:rPr>
          <w:i/>
        </w:rPr>
        <w:t>L</w:t>
      </w:r>
      <w:r w:rsidR="007B7A1B" w:rsidRPr="00497AEF">
        <w:rPr>
          <w:i/>
        </w:rPr>
        <w:t>es</w:t>
      </w:r>
      <w:r w:rsidR="00C21130" w:rsidRPr="00497AEF">
        <w:rPr>
          <w:i/>
        </w:rPr>
        <w:t xml:space="preserve"> points suivant</w:t>
      </w:r>
      <w:r w:rsidR="007B7A1B" w:rsidRPr="00497AEF">
        <w:rPr>
          <w:i/>
        </w:rPr>
        <w:t xml:space="preserve">s pourraient </w:t>
      </w:r>
      <w:r w:rsidR="00C21130" w:rsidRPr="00497AEF">
        <w:rPr>
          <w:i/>
        </w:rPr>
        <w:t>par exemple être abordés :</w:t>
      </w:r>
    </w:p>
    <w:p w14:paraId="31731F78" w14:textId="4A96037C" w:rsidR="00836155" w:rsidRPr="005020A8" w:rsidRDefault="00836155" w:rsidP="00497AEF">
      <w:pPr>
        <w:pStyle w:val="Listenabsatz"/>
        <w:numPr>
          <w:ilvl w:val="0"/>
          <w:numId w:val="20"/>
        </w:numPr>
        <w:spacing w:line="240" w:lineRule="auto"/>
        <w:ind w:left="426"/>
        <w:jc w:val="both"/>
        <w:rPr>
          <w:rFonts w:cs="Arial"/>
          <w:i/>
          <w:color w:val="000000"/>
          <w:lang w:eastAsia="de-CH"/>
        </w:rPr>
      </w:pPr>
      <w:r w:rsidRPr="005020A8">
        <w:rPr>
          <w:rFonts w:cs="Arial"/>
          <w:i/>
          <w:color w:val="000000"/>
          <w:lang w:eastAsia="de-CH"/>
        </w:rPr>
        <w:t xml:space="preserve">Composition de la réduction de prime versée, </w:t>
      </w:r>
      <w:r w:rsidR="00606305" w:rsidRPr="005020A8">
        <w:rPr>
          <w:rFonts w:cs="Arial"/>
          <w:i/>
          <w:color w:val="000000"/>
          <w:lang w:eastAsia="de-CH"/>
        </w:rPr>
        <w:t>à savoir</w:t>
      </w:r>
      <w:r w:rsidR="00F4382F" w:rsidRPr="005020A8" w:rsidDel="00FA4DC5">
        <w:rPr>
          <w:rFonts w:cs="Arial"/>
          <w:i/>
          <w:color w:val="000000"/>
          <w:lang w:eastAsia="de-CH"/>
        </w:rPr>
        <w:t xml:space="preserve"> </w:t>
      </w:r>
      <w:r w:rsidRPr="005020A8">
        <w:rPr>
          <w:rFonts w:cs="Arial"/>
          <w:i/>
          <w:color w:val="000000"/>
          <w:lang w:eastAsia="de-CH"/>
        </w:rPr>
        <w:t>son évolution</w:t>
      </w:r>
    </w:p>
    <w:p w14:paraId="288B0328" w14:textId="59E9A0A9" w:rsidR="00836155" w:rsidRPr="00497AEF" w:rsidRDefault="00F4382F" w:rsidP="00497AEF">
      <w:pPr>
        <w:pStyle w:val="Listenabsatz"/>
        <w:numPr>
          <w:ilvl w:val="0"/>
          <w:numId w:val="20"/>
        </w:numPr>
        <w:spacing w:line="240" w:lineRule="auto"/>
        <w:ind w:left="426"/>
        <w:jc w:val="both"/>
        <w:rPr>
          <w:rFonts w:cs="Arial"/>
          <w:i/>
          <w:color w:val="000000"/>
          <w:lang w:val="de-CH" w:eastAsia="de-CH"/>
        </w:rPr>
      </w:pPr>
      <w:r w:rsidRPr="00497AEF">
        <w:rPr>
          <w:rFonts w:cs="Arial"/>
          <w:i/>
          <w:color w:val="000000"/>
          <w:lang w:val="de-CH" w:eastAsia="de-CH"/>
        </w:rPr>
        <w:t xml:space="preserve">Frais </w:t>
      </w:r>
      <w:proofErr w:type="spellStart"/>
      <w:r w:rsidRPr="00497AEF">
        <w:rPr>
          <w:rFonts w:cs="Arial"/>
          <w:i/>
          <w:color w:val="000000"/>
          <w:lang w:val="de-CH" w:eastAsia="de-CH"/>
        </w:rPr>
        <w:t>d’application</w:t>
      </w:r>
      <w:proofErr w:type="spellEnd"/>
    </w:p>
    <w:p w14:paraId="7804D0B9" w14:textId="42D0B25F" w:rsidR="00836155" w:rsidRPr="005020A8" w:rsidRDefault="00836155" w:rsidP="00497AEF">
      <w:pPr>
        <w:pStyle w:val="Listenabsatz"/>
        <w:numPr>
          <w:ilvl w:val="0"/>
          <w:numId w:val="20"/>
        </w:numPr>
        <w:spacing w:line="240" w:lineRule="auto"/>
        <w:ind w:left="426"/>
        <w:jc w:val="both"/>
        <w:rPr>
          <w:rFonts w:cs="Arial"/>
          <w:i/>
          <w:color w:val="000000"/>
          <w:lang w:eastAsia="de-CH"/>
        </w:rPr>
      </w:pPr>
      <w:r w:rsidRPr="005020A8">
        <w:rPr>
          <w:rFonts w:cs="Arial"/>
          <w:i/>
          <w:color w:val="000000"/>
          <w:lang w:eastAsia="de-CH"/>
        </w:rPr>
        <w:t xml:space="preserve">Demandes de remboursement, amortissements, </w:t>
      </w:r>
      <w:r w:rsidR="00F23B38" w:rsidRPr="005020A8">
        <w:rPr>
          <w:rFonts w:cs="Arial"/>
          <w:i/>
          <w:color w:val="000000"/>
          <w:lang w:eastAsia="de-CH"/>
        </w:rPr>
        <w:t>adoptions de dispositions, etc.</w:t>
      </w:r>
    </w:p>
    <w:p w14:paraId="6BC83613" w14:textId="4659DC09" w:rsidR="00AC5C39" w:rsidRDefault="00FC2EE7">
      <w:pPr>
        <w:pStyle w:val="berschrift1"/>
        <w:numPr>
          <w:ilvl w:val="0"/>
          <w:numId w:val="1"/>
        </w:numPr>
      </w:pPr>
      <w:bookmarkStart w:id="11" w:name="_Toc114844781"/>
      <w:r>
        <w:t>Signatures de l’organe de révision</w:t>
      </w:r>
      <w:bookmarkEnd w:id="11"/>
    </w:p>
    <w:p w14:paraId="7ACF7441" w14:textId="77777777" w:rsidR="00AC5C39" w:rsidRDefault="00FC2EE7">
      <w:pPr>
        <w:pStyle w:val="FINMAStandardAbsatz"/>
        <w:ind w:left="360"/>
        <w:rPr>
          <w:i/>
        </w:rPr>
      </w:pPr>
      <w:r>
        <w:rPr>
          <w:i/>
        </w:rPr>
        <w:t>Le rapport de révision doit être signé par le réviseur principal ainsi que par une autre personne disposant du pouvoir de représentation.</w:t>
      </w:r>
    </w:p>
    <w:p w14:paraId="03ABDD79" w14:textId="77777777" w:rsidR="00AC5C39" w:rsidRDefault="00FC2EE7">
      <w:pPr>
        <w:pStyle w:val="berschrift1"/>
        <w:numPr>
          <w:ilvl w:val="0"/>
          <w:numId w:val="1"/>
        </w:numPr>
      </w:pPr>
      <w:bookmarkStart w:id="12" w:name="_Toc114844782"/>
      <w:r>
        <w:t>Annexes</w:t>
      </w:r>
      <w:bookmarkEnd w:id="12"/>
    </w:p>
    <w:p w14:paraId="735C282C" w14:textId="3FD6830A" w:rsidR="00AC5C39" w:rsidRPr="00730F3F" w:rsidRDefault="00FC2EE7" w:rsidP="00730F3F">
      <w:pPr>
        <w:pStyle w:val="Listenabsatz"/>
        <w:numPr>
          <w:ilvl w:val="1"/>
          <w:numId w:val="22"/>
        </w:numPr>
        <w:spacing w:line="240" w:lineRule="auto"/>
        <w:ind w:left="709"/>
        <w:jc w:val="both"/>
        <w:rPr>
          <w:lang w:val="de-CH"/>
        </w:rPr>
      </w:pPr>
      <w:proofErr w:type="spellStart"/>
      <w:r w:rsidRPr="00730F3F">
        <w:rPr>
          <w:lang w:val="de-CH"/>
        </w:rPr>
        <w:t>Formulaire</w:t>
      </w:r>
      <w:proofErr w:type="spellEnd"/>
      <w:r w:rsidRPr="00730F3F">
        <w:rPr>
          <w:lang w:val="de-CH"/>
        </w:rPr>
        <w:t xml:space="preserve"> PV 12 (</w:t>
      </w:r>
      <w:proofErr w:type="spellStart"/>
      <w:r w:rsidRPr="00730F3F">
        <w:rPr>
          <w:lang w:val="de-CH"/>
        </w:rPr>
        <w:t>signé</w:t>
      </w:r>
      <w:proofErr w:type="spellEnd"/>
      <w:r w:rsidRPr="00730F3F">
        <w:rPr>
          <w:lang w:val="de-CH"/>
        </w:rPr>
        <w:t>)</w:t>
      </w:r>
    </w:p>
    <w:p w14:paraId="317E092F" w14:textId="236DE29D" w:rsidR="00AC5C39" w:rsidRPr="00984C86" w:rsidRDefault="00FC2EE7" w:rsidP="00730F3F">
      <w:pPr>
        <w:pStyle w:val="Listenabsatz"/>
        <w:numPr>
          <w:ilvl w:val="1"/>
          <w:numId w:val="22"/>
        </w:numPr>
        <w:spacing w:line="240" w:lineRule="auto"/>
        <w:ind w:left="709"/>
        <w:jc w:val="both"/>
      </w:pPr>
      <w:r w:rsidRPr="00984C86">
        <w:t>Le cas échéant, divers documents relatifs à la révision effectuée</w:t>
      </w:r>
      <w:bookmarkEnd w:id="0"/>
    </w:p>
    <w:sectPr w:rsidR="00AC5C39" w:rsidRPr="00984C86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-899" w:right="1134" w:bottom="2126" w:left="1695" w:header="1079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21D3" w14:textId="77777777" w:rsidR="00E81671" w:rsidRDefault="00E81671">
      <w:r>
        <w:separator/>
      </w:r>
    </w:p>
  </w:endnote>
  <w:endnote w:type="continuationSeparator" w:id="0">
    <w:p w14:paraId="7496A65D" w14:textId="77777777" w:rsidR="00E81671" w:rsidRDefault="00E8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CAA8" w14:textId="7F916B0C" w:rsidR="00E81671" w:rsidRPr="00730F3F" w:rsidRDefault="00E81671">
    <w:pPr>
      <w:pStyle w:val="Fuzeile"/>
      <w:spacing w:line="240" w:lineRule="auto"/>
    </w:pPr>
    <w:r>
      <w:t>Office fédéral de la santé publique (</w:t>
    </w:r>
    <w:proofErr w:type="spellStart"/>
    <w:proofErr w:type="gramStart"/>
    <w:r>
      <w:t>OFSP</w:t>
    </w:r>
    <w:proofErr w:type="spellEnd"/>
    <w:r>
      <w:t xml:space="preserve">)  </w:t>
    </w:r>
    <w:r>
      <w:tab/>
    </w:r>
    <w:proofErr w:type="gramEnd"/>
    <w:r>
      <w:t>Version du 30.</w:t>
    </w:r>
    <w:r w:rsidRPr="00730F3F">
      <w:t>09.2022</w:t>
    </w:r>
  </w:p>
  <w:p w14:paraId="76C17621" w14:textId="25AA67C6" w:rsidR="00E81671" w:rsidRDefault="00E81671">
    <w:pPr>
      <w:pStyle w:val="Fuzeile"/>
      <w:rPr>
        <w:lang w:val="de-CH"/>
      </w:rPr>
    </w:pPr>
    <w:proofErr w:type="spellStart"/>
    <w:r>
      <w:rPr>
        <w:lang w:val="de-CH"/>
      </w:rPr>
      <w:t>Schwarzenburgstrasse</w:t>
    </w:r>
    <w:proofErr w:type="spellEnd"/>
    <w:r>
      <w:rPr>
        <w:lang w:val="de-CH"/>
      </w:rPr>
      <w:t xml:space="preserve"> 157, 3003 Berne</w:t>
    </w:r>
    <w:r>
      <w:rPr>
        <w:lang w:val="de-CH"/>
      </w:rPr>
      <w:br/>
    </w:r>
    <w:proofErr w:type="spellStart"/>
    <w:r>
      <w:rPr>
        <w:lang w:val="de-CH"/>
      </w:rPr>
      <w:t>Tél</w:t>
    </w:r>
    <w:proofErr w:type="spellEnd"/>
    <w:r>
      <w:rPr>
        <w:lang w:val="de-CH"/>
      </w:rPr>
      <w:t>. +41 58 463 70 66</w:t>
    </w:r>
    <w:r>
      <w:rPr>
        <w:lang w:val="de-CH"/>
      </w:rPr>
      <w:br/>
    </w:r>
    <w:hyperlink r:id="rId1" w:history="1">
      <w:r>
        <w:rPr>
          <w:rStyle w:val="Hyperlink"/>
          <w:lang w:val="de-CH"/>
        </w:rPr>
        <w:t>www.bag.admin.ch</w:t>
      </w:r>
    </w:hyperlink>
    <w:r>
      <w:rPr>
        <w:lang w:val="de-CH"/>
      </w:rPr>
      <w:tab/>
    </w:r>
    <w:r>
      <w:fldChar w:fldCharType="begin"/>
    </w:r>
    <w:r>
      <w:rPr>
        <w:lang w:val="de-CH"/>
      </w:rPr>
      <w:instrText>PAGE   \* MERGEFORMAT</w:instrText>
    </w:r>
    <w:r>
      <w:fldChar w:fldCharType="separate"/>
    </w:r>
    <w:r w:rsidR="00984C86">
      <w:rPr>
        <w:noProof/>
        <w:lang w:val="de-CH"/>
      </w:rPr>
      <w:t>7</w:t>
    </w:r>
    <w:r>
      <w:fldChar w:fldCharType="end"/>
    </w:r>
  </w:p>
  <w:p w14:paraId="76DDCDCA" w14:textId="77777777" w:rsidR="00E81671" w:rsidRDefault="00E81671">
    <w:pPr>
      <w:pStyle w:val="Fuzeile"/>
      <w:rPr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D3CA" w14:textId="77777777" w:rsidR="00E81671" w:rsidRDefault="00E81671">
    <w:pPr>
      <w:pStyle w:val="Fuzeile"/>
    </w:pPr>
    <w:r>
      <w:rPr>
        <w:sz w:val="12"/>
      </w:rPr>
      <w:t>/</w:t>
    </w:r>
    <w:r>
      <w:tab/>
    </w:r>
  </w:p>
  <w:p w14:paraId="5C4AD7D4" w14:textId="77777777" w:rsidR="00E81671" w:rsidRDefault="00E81671">
    <w:pPr>
      <w:pStyle w:val="Fuzeile"/>
      <w:spacing w:line="0" w:lineRule="atLeast"/>
      <w:rPr>
        <w:sz w:val="2"/>
        <w:szCs w:val="2"/>
      </w:rPr>
    </w:pPr>
  </w:p>
  <w:p w14:paraId="3E46CC23" w14:textId="77777777" w:rsidR="00E81671" w:rsidRDefault="00E81671">
    <w:pPr>
      <w:pStyle w:val="Fuzeile"/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2E4A" w14:textId="77777777" w:rsidR="00E81671" w:rsidRDefault="00E81671">
      <w:r>
        <w:separator/>
      </w:r>
    </w:p>
  </w:footnote>
  <w:footnote w:type="continuationSeparator" w:id="0">
    <w:p w14:paraId="0CC0C52B" w14:textId="77777777" w:rsidR="00E81671" w:rsidRDefault="00E81671">
      <w:r>
        <w:continuationSeparator/>
      </w:r>
    </w:p>
  </w:footnote>
  <w:footnote w:id="1">
    <w:p w14:paraId="66FF665A" w14:textId="77777777" w:rsidR="00E81671" w:rsidRDefault="00E81671">
      <w:pPr>
        <w:pStyle w:val="Funotentext"/>
      </w:pPr>
      <w:r>
        <w:rPr>
          <w:rStyle w:val="Funotenzeichen"/>
        </w:rPr>
        <w:footnoteRef/>
      </w:r>
      <w:r>
        <w:t xml:space="preserve"> Cf. </w:t>
      </w:r>
      <w:hyperlink r:id="rId1" w:history="1">
        <w:r>
          <w:rPr>
            <w:rStyle w:val="Hyperlink"/>
          </w:rPr>
          <w:t>Réduction de primes :</w:t>
        </w:r>
      </w:hyperlink>
      <w:hyperlink r:id="rId2" w:history="1">
        <w:r>
          <w:rPr>
            <w:rStyle w:val="Hyperlink"/>
          </w:rPr>
          <w:t xml:space="preserve"> Systèmes cantonaux de réduction des primes - </w:t>
        </w:r>
        <w:proofErr w:type="spellStart"/>
        <w:r>
          <w:rPr>
            <w:rStyle w:val="Hyperlink"/>
          </w:rPr>
          <w:t>GDK</w:t>
        </w:r>
        <w:proofErr w:type="spellEnd"/>
        <w:r>
          <w:rPr>
            <w:rStyle w:val="Hyperlink"/>
          </w:rPr>
          <w:t xml:space="preserve"> - CDS</w:t>
        </w:r>
      </w:hyperlink>
      <w:r>
        <w:rPr>
          <w:rStyle w:val="Hyperlink"/>
        </w:rPr>
        <w:t>, cf. Téléchargement « Tableau synoptique des systèmes cantonaux de réduction des primes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08DF" w14:textId="77777777" w:rsidR="00E81671" w:rsidRDefault="00E81671">
    <w:pPr>
      <w:tabs>
        <w:tab w:val="left" w:pos="945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827"/>
    <w:multiLevelType w:val="multilevel"/>
    <w:tmpl w:val="440AB2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EDA6A74"/>
    <w:multiLevelType w:val="hybridMultilevel"/>
    <w:tmpl w:val="81E84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3E15"/>
    <w:multiLevelType w:val="hybridMultilevel"/>
    <w:tmpl w:val="BC0A57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8A19F1"/>
    <w:multiLevelType w:val="multilevel"/>
    <w:tmpl w:val="C9BA8B40"/>
    <w:lvl w:ilvl="0">
      <w:start w:val="1"/>
      <w:numFmt w:val="upperRoman"/>
      <w:lvlText w:val="%1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RS-Titel3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2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567" w:hanging="567"/>
      </w:pPr>
      <w:rPr>
        <w:rFonts w:hint="default"/>
      </w:rPr>
    </w:lvl>
  </w:abstractNum>
  <w:abstractNum w:abstractNumId="6" w15:restartNumberingAfterBreak="0">
    <w:nsid w:val="26891BC8"/>
    <w:multiLevelType w:val="multilevel"/>
    <w:tmpl w:val="D806E6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916BC7"/>
    <w:multiLevelType w:val="hybridMultilevel"/>
    <w:tmpl w:val="E34447D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34D8A"/>
    <w:multiLevelType w:val="hybridMultilevel"/>
    <w:tmpl w:val="6D1680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EFF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6295"/>
    <w:multiLevelType w:val="multilevel"/>
    <w:tmpl w:val="515C9B9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4DAB5B67"/>
    <w:multiLevelType w:val="hybridMultilevel"/>
    <w:tmpl w:val="B44A0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3" w15:restartNumberingAfterBreak="0">
    <w:nsid w:val="51E21785"/>
    <w:multiLevelType w:val="hybridMultilevel"/>
    <w:tmpl w:val="005894B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59491FC4"/>
    <w:multiLevelType w:val="hybridMultilevel"/>
    <w:tmpl w:val="AB4874AC"/>
    <w:lvl w:ilvl="0" w:tplc="E408C9EA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8E5D24">
      <w:start w:val="1"/>
      <w:numFmt w:val="bullet"/>
      <w:lvlText w:val="­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8E277C"/>
    <w:multiLevelType w:val="hybridMultilevel"/>
    <w:tmpl w:val="08726E14"/>
    <w:lvl w:ilvl="0" w:tplc="0D8E5D24">
      <w:start w:val="1"/>
      <w:numFmt w:val="bullet"/>
      <w:lvlText w:val="­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8" w15:restartNumberingAfterBreak="0">
    <w:nsid w:val="6ABF7D7A"/>
    <w:multiLevelType w:val="hybridMultilevel"/>
    <w:tmpl w:val="22EAC2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5"/>
  </w:num>
  <w:num w:numId="10">
    <w:abstractNumId w:val="11"/>
  </w:num>
  <w:num w:numId="11">
    <w:abstractNumId w:val="18"/>
  </w:num>
  <w:num w:numId="12">
    <w:abstractNumId w:val="17"/>
  </w:num>
  <w:num w:numId="13">
    <w:abstractNumId w:val="2"/>
  </w:num>
  <w:num w:numId="14">
    <w:abstractNumId w:val="9"/>
  </w:num>
  <w:num w:numId="15">
    <w:abstractNumId w:val="6"/>
  </w:num>
  <w:num w:numId="16">
    <w:abstractNumId w:val="15"/>
  </w:num>
  <w:num w:numId="17">
    <w:abstractNumId w:val="0"/>
  </w:num>
  <w:num w:numId="18">
    <w:abstractNumId w:val="0"/>
  </w:num>
  <w:num w:numId="19">
    <w:abstractNumId w:val="3"/>
  </w:num>
  <w:num w:numId="20">
    <w:abstractNumId w:val="8"/>
  </w:num>
  <w:num w:numId="21">
    <w:abstractNumId w:val="7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DOWS\Temp\1\ADR_COO.2075.100.4.413716.DOC"/>
    <w:odso/>
  </w:mailMerge>
  <w:defaultTabStop w:val="709"/>
  <w:hyphenationZone w:val="425"/>
  <w:doNotHyphenateCaps/>
  <w:drawingGridHorizontalSpacing w:val="108"/>
  <w:drawingGridVerticalSpacing w:val="181"/>
  <w:displayHorizontalDrawingGridEvery w:val="2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39"/>
    <w:rsid w:val="00046038"/>
    <w:rsid w:val="00060E0D"/>
    <w:rsid w:val="000F33F3"/>
    <w:rsid w:val="00105B87"/>
    <w:rsid w:val="001A3F7C"/>
    <w:rsid w:val="001C375C"/>
    <w:rsid w:val="002E12F3"/>
    <w:rsid w:val="003A3ACC"/>
    <w:rsid w:val="003F6775"/>
    <w:rsid w:val="00421703"/>
    <w:rsid w:val="0046573D"/>
    <w:rsid w:val="00497AEF"/>
    <w:rsid w:val="004C1B2B"/>
    <w:rsid w:val="004D09C2"/>
    <w:rsid w:val="005020A8"/>
    <w:rsid w:val="005362BC"/>
    <w:rsid w:val="00567750"/>
    <w:rsid w:val="005F19BA"/>
    <w:rsid w:val="00606305"/>
    <w:rsid w:val="0062353A"/>
    <w:rsid w:val="006F266C"/>
    <w:rsid w:val="006F4650"/>
    <w:rsid w:val="00730F3F"/>
    <w:rsid w:val="007831FA"/>
    <w:rsid w:val="007A21A7"/>
    <w:rsid w:val="007B36C3"/>
    <w:rsid w:val="007B7A1B"/>
    <w:rsid w:val="007C6733"/>
    <w:rsid w:val="007D0377"/>
    <w:rsid w:val="00802462"/>
    <w:rsid w:val="0080774D"/>
    <w:rsid w:val="008220CD"/>
    <w:rsid w:val="00836155"/>
    <w:rsid w:val="00853CE8"/>
    <w:rsid w:val="0088293B"/>
    <w:rsid w:val="0088441B"/>
    <w:rsid w:val="008E48B7"/>
    <w:rsid w:val="008F00AE"/>
    <w:rsid w:val="00920A7C"/>
    <w:rsid w:val="00984C86"/>
    <w:rsid w:val="009A31AE"/>
    <w:rsid w:val="00A27590"/>
    <w:rsid w:val="00AC5C39"/>
    <w:rsid w:val="00B02A8F"/>
    <w:rsid w:val="00B521DE"/>
    <w:rsid w:val="00BB3016"/>
    <w:rsid w:val="00C21130"/>
    <w:rsid w:val="00C75218"/>
    <w:rsid w:val="00C83AD2"/>
    <w:rsid w:val="00D31F36"/>
    <w:rsid w:val="00DD2FC3"/>
    <w:rsid w:val="00DE5E78"/>
    <w:rsid w:val="00E26BD0"/>
    <w:rsid w:val="00E81671"/>
    <w:rsid w:val="00E8206E"/>
    <w:rsid w:val="00EC54D2"/>
    <w:rsid w:val="00F23B38"/>
    <w:rsid w:val="00F4382F"/>
    <w:rsid w:val="00FA0A79"/>
    <w:rsid w:val="00FA4DC5"/>
    <w:rsid w:val="00FC2EE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;"/>
  <w14:docId w14:val="1A4B4479"/>
  <w15:chartTrackingRefBased/>
  <w15:docId w15:val="{342EF4AE-84A1-4250-A0E1-1571D15D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FollowedHyperlink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INMA Standard"/>
    <w:pPr>
      <w:spacing w:line="260" w:lineRule="atLeast"/>
    </w:pPr>
    <w:rPr>
      <w:rFonts w:ascii="Arial" w:hAnsi="Arial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link w:val="berschrift1Zchn"/>
    <w:qFormat/>
    <w:pPr>
      <w:keepNext/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link w:val="berschrift2Zchn"/>
    <w:qFormat/>
    <w:pPr>
      <w:keepNext/>
      <w:numPr>
        <w:ilvl w:val="1"/>
        <w:numId w:val="6"/>
      </w:numPr>
      <w:tabs>
        <w:tab w:val="clear" w:pos="1143"/>
        <w:tab w:val="num" w:pos="576"/>
      </w:tabs>
      <w:spacing w:before="360" w:after="240"/>
      <w:ind w:left="576" w:right="-23"/>
      <w:outlineLvl w:val="1"/>
    </w:pPr>
    <w:rPr>
      <w:rFonts w:cs="Arial"/>
    </w:rPr>
  </w:style>
  <w:style w:type="paragraph" w:styleId="berschrift3">
    <w:name w:val="heading 3"/>
    <w:aliases w:val="FINMA Überschrift 3"/>
    <w:basedOn w:val="Standard"/>
    <w:next w:val="FINMAStandardAbsatz"/>
    <w:link w:val="berschrift3Zchn"/>
    <w:qFormat/>
    <w:pPr>
      <w:keepNext/>
      <w:numPr>
        <w:ilvl w:val="2"/>
        <w:numId w:val="6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link w:val="berschrift4Zchn"/>
    <w:qFormat/>
    <w:pPr>
      <w:keepNext/>
      <w:numPr>
        <w:ilvl w:val="3"/>
        <w:numId w:val="6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link w:val="berschrift5Zchn"/>
    <w:qFormat/>
    <w:pPr>
      <w:numPr>
        <w:ilvl w:val="4"/>
        <w:numId w:val="6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link w:val="berschrift6Zchn"/>
    <w:qFormat/>
    <w:pPr>
      <w:numPr>
        <w:ilvl w:val="5"/>
        <w:numId w:val="6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link w:val="berschrift7Zchn"/>
    <w:qFormat/>
    <w:pPr>
      <w:numPr>
        <w:ilvl w:val="6"/>
        <w:numId w:val="6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link w:val="berschrift8Zchn"/>
    <w:qFormat/>
    <w:pPr>
      <w:numPr>
        <w:ilvl w:val="7"/>
        <w:numId w:val="6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link w:val="berschrift9Zchn"/>
    <w:qFormat/>
    <w:pPr>
      <w:numPr>
        <w:ilvl w:val="8"/>
        <w:numId w:val="6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link w:val="Anrede"/>
    <w:rPr>
      <w:rFonts w:ascii="Arial" w:hAnsi="Arial"/>
      <w:noProof/>
      <w:lang w:eastAsia="de-DE"/>
    </w:rPr>
  </w:style>
  <w:style w:type="paragraph" w:customStyle="1" w:styleId="FINMAAufzhlungEbene1">
    <w:name w:val="FINMA Aufzählung Ebene 1"/>
    <w:basedOn w:val="Standard"/>
    <w:qFormat/>
    <w:pPr>
      <w:numPr>
        <w:numId w:val="2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pPr>
      <w:numPr>
        <w:numId w:val="7"/>
      </w:numPr>
      <w:tabs>
        <w:tab w:val="left" w:pos="312"/>
      </w:tabs>
      <w:spacing w:after="80"/>
      <w:ind w:left="765" w:hanging="357"/>
      <w:jc w:val="both"/>
    </w:pPr>
  </w:style>
  <w:style w:type="paragraph" w:customStyle="1" w:styleId="FINMAAufzhlungEbene3">
    <w:name w:val="FINMA Aufzählung Ebene 3"/>
    <w:basedOn w:val="Standard"/>
    <w:qFormat/>
    <w:pPr>
      <w:numPr>
        <w:numId w:val="3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pPr>
      <w:numPr>
        <w:numId w:val="4"/>
      </w:numPr>
      <w:tabs>
        <w:tab w:val="clear" w:pos="1038"/>
        <w:tab w:val="num" w:pos="360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pPr>
      <w:numPr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pPr>
      <w:numPr>
        <w:ilvl w:val="1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pPr>
      <w:numPr>
        <w:ilvl w:val="2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pPr>
      <w:numPr>
        <w:ilvl w:val="3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pPr>
      <w:numPr>
        <w:numId w:val="8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</w:style>
  <w:style w:type="paragraph" w:customStyle="1" w:styleId="FINMAReferenuValue">
    <w:name w:val="FINMA ReferenuValue"/>
    <w:basedOn w:val="Standard"/>
    <w:rPr>
      <w:sz w:val="16"/>
    </w:rPr>
  </w:style>
  <w:style w:type="paragraph" w:customStyle="1" w:styleId="FINMAReferenz">
    <w:name w:val="FINMA Referenz"/>
    <w:basedOn w:val="Standard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pPr>
      <w:framePr w:wrap="around"/>
    </w:pPr>
  </w:style>
  <w:style w:type="character" w:customStyle="1" w:styleId="FINMARf-AktnrZchn">
    <w:name w:val="FINMA Rf-Akt.nr. Zchn"/>
    <w:rPr>
      <w:rFonts w:ascii="Arial" w:hAnsi="Arial"/>
      <w:sz w:val="16"/>
      <w:szCs w:val="16"/>
      <w:lang w:val="fr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</w:style>
  <w:style w:type="paragraph" w:customStyle="1" w:styleId="FINMATabellemitAufzzeichen">
    <w:name w:val="FINMA Tabelle mit Aufz.zeichen"/>
    <w:basedOn w:val="Standard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Pr>
      <w:b/>
      <w:sz w:val="42"/>
    </w:rPr>
  </w:style>
  <w:style w:type="paragraph" w:customStyle="1" w:styleId="FINMAUntertitel">
    <w:name w:val="FINMA Untertitel"/>
    <w:basedOn w:val="Anrede"/>
    <w:pPr>
      <w:jc w:val="both"/>
    </w:pPr>
    <w:rPr>
      <w:sz w:val="42"/>
    </w:rPr>
  </w:style>
  <w:style w:type="paragraph" w:customStyle="1" w:styleId="FINMAVertraulichkeitsvermerk">
    <w:name w:val="FINMA Vertraulichkeitsvermerk"/>
    <w:basedOn w:val="Standard"/>
    <w:qFormat/>
    <w:rPr>
      <w:b/>
      <w:sz w:val="16"/>
    </w:rPr>
  </w:style>
  <w:style w:type="paragraph" w:styleId="Funotentext">
    <w:name w:val="footnote text"/>
    <w:basedOn w:val="Standard"/>
    <w:link w:val="FunotentextZchn"/>
    <w:pPr>
      <w:tabs>
        <w:tab w:val="left" w:pos="113"/>
      </w:tabs>
      <w:spacing w:after="60" w:line="240" w:lineRule="auto"/>
      <w:ind w:left="113" w:hanging="113"/>
    </w:pPr>
    <w:rPr>
      <w:sz w:val="18"/>
    </w:rPr>
  </w:style>
  <w:style w:type="character" w:customStyle="1" w:styleId="FunotentextZchn">
    <w:name w:val="Fußnotentext Zchn"/>
    <w:link w:val="Funotentext"/>
    <w:rPr>
      <w:rFonts w:ascii="Arial" w:hAnsi="Arial"/>
      <w:sz w:val="18"/>
      <w:lang w:eastAsia="de-DE"/>
    </w:rPr>
  </w:style>
  <w:style w:type="character" w:styleId="Funotenzeichen">
    <w:name w:val="footnote reference"/>
    <w:rPr>
      <w:vertAlign w:val="superscript"/>
    </w:rPr>
  </w:style>
  <w:style w:type="paragraph" w:styleId="Fuzeile">
    <w:name w:val="footer"/>
    <w:aliases w:val="FINMA Fußzeile"/>
    <w:basedOn w:val="Standard"/>
    <w:link w:val="FuzeileZchn"/>
    <w:uiPriority w:val="99"/>
    <w:pPr>
      <w:tabs>
        <w:tab w:val="right" w:pos="9639"/>
      </w:tabs>
    </w:pPr>
    <w:rPr>
      <w:sz w:val="16"/>
    </w:rPr>
  </w:style>
  <w:style w:type="character" w:customStyle="1" w:styleId="FuzeileZchn">
    <w:name w:val="Fußzeile Zchn"/>
    <w:aliases w:val="FINMA Fußzeile Zchn"/>
    <w:link w:val="Fuzeile"/>
    <w:uiPriority w:val="99"/>
    <w:rPr>
      <w:rFonts w:ascii="Arial" w:hAnsi="Arial"/>
      <w:sz w:val="16"/>
      <w:lang w:val="fr-CH" w:eastAsia="de-DE"/>
    </w:rPr>
  </w:style>
  <w:style w:type="paragraph" w:styleId="Kopfzeile">
    <w:name w:val="header"/>
    <w:aliases w:val="FINMA Kopfzeile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link w:val="Kopfzeile"/>
    <w:uiPriority w:val="99"/>
    <w:rPr>
      <w:rFonts w:ascii="Arial" w:hAnsi="Arial"/>
      <w:lang w:eastAsia="de-DE"/>
    </w:rPr>
  </w:style>
  <w:style w:type="paragraph" w:customStyle="1" w:styleId="Kopieeinzug">
    <w:name w:val="Kopieeinzug"/>
    <w:basedOn w:val="Standard"/>
    <w:semiHidden/>
    <w:pPr>
      <w:tabs>
        <w:tab w:val="left" w:pos="1260"/>
      </w:tabs>
      <w:ind w:left="1259"/>
    </w:pPr>
  </w:style>
  <w:style w:type="character" w:styleId="Platzhaltertext">
    <w:name w:val="Placeholder Tex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paragraph" w:customStyle="1" w:styleId="TabelleBlocksatz">
    <w:name w:val="Tabelle Blocksatz"/>
    <w:basedOn w:val="Standard"/>
    <w:semiHidden/>
    <w:pPr>
      <w:spacing w:before="60" w:after="60"/>
      <w:jc w:val="both"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erzeichnis1">
    <w:name w:val="toc 1"/>
    <w:basedOn w:val="Standard"/>
    <w:next w:val="Standard"/>
    <w:autoRedefine/>
    <w:uiPriority w:val="39"/>
    <w:rsid w:val="008220CD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uiPriority w:val="39"/>
    <w:rsid w:val="008220CD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uiPriority w:val="39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uiPriority w:val="39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5">
    <w:name w:val="toc 5"/>
    <w:basedOn w:val="Standard"/>
    <w:next w:val="FINMAStandardAbsatz"/>
    <w:autoRedefine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HelleListe1">
    <w:name w:val="Helle Liste1"/>
    <w:basedOn w:val="NormaleTabelle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RS-Titel4">
    <w:name w:val="RS-Titel4"/>
    <w:basedOn w:val="Standard"/>
    <w:next w:val="Standard"/>
    <w:autoRedefine/>
    <w:qFormat/>
    <w:pPr>
      <w:tabs>
        <w:tab w:val="left" w:pos="900"/>
      </w:tabs>
      <w:autoSpaceDE w:val="0"/>
      <w:autoSpaceDN w:val="0"/>
      <w:adjustRightInd w:val="0"/>
      <w:spacing w:before="120" w:after="120" w:line="240" w:lineRule="auto"/>
      <w:jc w:val="both"/>
      <w:textAlignment w:val="center"/>
      <w:outlineLvl w:val="3"/>
    </w:pPr>
    <w:rPr>
      <w:rFonts w:cs="Arial-ItalicMT"/>
      <w:iCs/>
      <w:noProof/>
      <w:color w:val="000000"/>
      <w:szCs w:val="24"/>
      <w:lang w:bidi="de-DE"/>
    </w:rPr>
  </w:style>
  <w:style w:type="paragraph" w:customStyle="1" w:styleId="RS-Titel1">
    <w:name w:val="RS-Titel1"/>
    <w:basedOn w:val="berschrift1"/>
    <w:next w:val="Standard"/>
    <w:autoRedefine/>
    <w:qFormat/>
    <w:pPr>
      <w:tabs>
        <w:tab w:val="left" w:pos="567"/>
      </w:tabs>
      <w:spacing w:before="120" w:after="120"/>
      <w:jc w:val="both"/>
    </w:pPr>
  </w:style>
  <w:style w:type="paragraph" w:customStyle="1" w:styleId="RS-Titel2">
    <w:name w:val="RS-Titel2"/>
    <w:basedOn w:val="berschrift2"/>
    <w:next w:val="Standard"/>
    <w:autoRedefine/>
    <w:qFormat/>
    <w:pPr>
      <w:numPr>
        <w:ilvl w:val="0"/>
        <w:numId w:val="0"/>
      </w:numPr>
      <w:spacing w:before="120" w:after="120"/>
      <w:ind w:right="0"/>
      <w:jc w:val="both"/>
    </w:pPr>
    <w:rPr>
      <w:noProof/>
    </w:rPr>
  </w:style>
  <w:style w:type="paragraph" w:customStyle="1" w:styleId="RS-Titel3">
    <w:name w:val="RS-Titel3"/>
    <w:basedOn w:val="berschrift3"/>
    <w:next w:val="Standard"/>
    <w:autoRedefine/>
    <w:qFormat/>
    <w:pPr>
      <w:keepNext w:val="0"/>
      <w:numPr>
        <w:numId w:val="9"/>
      </w:numPr>
      <w:spacing w:before="120" w:after="120"/>
      <w:jc w:val="both"/>
    </w:p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</w:style>
  <w:style w:type="character" w:customStyle="1" w:styleId="KommentartextZchn">
    <w:name w:val="Kommentartext Zchn"/>
    <w:link w:val="Kommentartext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eastAsia="de-DE"/>
    </w:rPr>
  </w:style>
  <w:style w:type="character" w:customStyle="1" w:styleId="berschrift1Zchn">
    <w:name w:val="Überschrift 1 Zchn"/>
    <w:aliases w:val="FINMA Überschrift 1 Zchn1"/>
    <w:link w:val="berschrift1"/>
    <w:rPr>
      <w:rFonts w:ascii="Arial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aliases w:val="FINMA Überschrift 2 Zchn"/>
    <w:link w:val="berschrift2"/>
    <w:rPr>
      <w:rFonts w:ascii="Arial" w:hAnsi="Arial" w:cs="Arial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aliases w:val="FINMA Überschrift 3 Zchn"/>
    <w:link w:val="berschrift3"/>
    <w:rPr>
      <w:rFonts w:ascii="Arial" w:hAnsi="Arial" w:cs="Arial"/>
      <w:b/>
      <w:bCs/>
      <w:szCs w:val="26"/>
      <w:lang w:eastAsia="de-DE"/>
    </w:rPr>
  </w:style>
  <w:style w:type="character" w:customStyle="1" w:styleId="berschrift4Zchn">
    <w:name w:val="Überschrift 4 Zchn"/>
    <w:aliases w:val="FINMA Überschrift 4 Zchn"/>
    <w:link w:val="berschrift4"/>
    <w:rPr>
      <w:rFonts w:ascii="Arial" w:hAnsi="Arial" w:cs="Arial"/>
      <w:bCs/>
      <w:szCs w:val="28"/>
      <w:lang w:eastAsia="de-DE"/>
    </w:rPr>
  </w:style>
  <w:style w:type="character" w:customStyle="1" w:styleId="berschrift5Zchn">
    <w:name w:val="Überschrift 5 Zchn"/>
    <w:aliases w:val="FINMA Überschrift 5 Zchn"/>
    <w:link w:val="berschrift5"/>
    <w:rPr>
      <w:rFonts w:ascii="Arial" w:hAnsi="Arial"/>
      <w:bCs/>
      <w:szCs w:val="26"/>
      <w:lang w:eastAsia="de-DE"/>
    </w:rPr>
  </w:style>
  <w:style w:type="character" w:customStyle="1" w:styleId="berschrift6Zchn">
    <w:name w:val="Überschrift 6 Zchn"/>
    <w:aliases w:val="FINMA Überschrift 6 Zchn"/>
    <w:link w:val="berschrift6"/>
    <w:rPr>
      <w:rFonts w:ascii="Arial" w:hAnsi="Arial" w:cs="Arial"/>
      <w:bCs/>
      <w:lang w:eastAsia="de-DE"/>
    </w:rPr>
  </w:style>
  <w:style w:type="character" w:customStyle="1" w:styleId="berschrift7Zchn">
    <w:name w:val="Überschrift 7 Zchn"/>
    <w:aliases w:val="FINMA Überschrift 7 Zchn"/>
    <w:link w:val="berschrift7"/>
    <w:rPr>
      <w:rFonts w:ascii="Arial" w:hAnsi="Arial" w:cs="Arial"/>
      <w:bCs/>
      <w:szCs w:val="24"/>
      <w:lang w:eastAsia="de-DE"/>
    </w:rPr>
  </w:style>
  <w:style w:type="character" w:customStyle="1" w:styleId="berschrift8Zchn">
    <w:name w:val="Überschrift 8 Zchn"/>
    <w:aliases w:val="FINMA Überschrift 8 Zchn"/>
    <w:link w:val="berschrift8"/>
    <w:rPr>
      <w:rFonts w:ascii="Arial" w:hAnsi="Arial" w:cs="Arial"/>
      <w:bCs/>
      <w:szCs w:val="24"/>
      <w:lang w:eastAsia="de-DE"/>
    </w:rPr>
  </w:style>
  <w:style w:type="character" w:customStyle="1" w:styleId="berschrift9Zchn">
    <w:name w:val="Überschrift 9 Zchn"/>
    <w:aliases w:val="FINMA Überschrift 9 Zchn"/>
    <w:link w:val="berschrift9"/>
    <w:rPr>
      <w:rFonts w:ascii="Arial" w:hAnsi="Arial" w:cs="Arial"/>
      <w:bCs/>
      <w:lang w:eastAsia="de-DE"/>
    </w:rPr>
  </w:style>
  <w:style w:type="character" w:customStyle="1" w:styleId="Formatvorlage1">
    <w:name w:val="Formatvorlage1"/>
    <w:basedOn w:val="Absatz-Standardschriftart"/>
    <w:uiPriority w:val="1"/>
  </w:style>
  <w:style w:type="character" w:customStyle="1" w:styleId="FormatvorlageRf-AktnrZchnFett">
    <w:name w:val="Formatvorlage Rf-Akt.nr. Zchn + Fett"/>
    <w:locked/>
    <w:rPr>
      <w:rFonts w:ascii="Arial" w:hAnsi="Arial"/>
      <w:b/>
      <w:bCs/>
      <w:sz w:val="16"/>
      <w:szCs w:val="16"/>
      <w:lang w:val="fr-CH" w:eastAsia="de-DE" w:bidi="ar-SA"/>
    </w:rPr>
  </w:style>
  <w:style w:type="paragraph" w:customStyle="1" w:styleId="StandardAbsatz">
    <w:name w:val="Standard Absatz"/>
    <w:basedOn w:val="Standard"/>
    <w:qFormat/>
    <w:pPr>
      <w:spacing w:before="260" w:after="260"/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el">
    <w:name w:val="Title"/>
    <w:basedOn w:val="Standard"/>
    <w:next w:val="StandardAbsatz"/>
    <w:link w:val="TitelZchn"/>
    <w:qFormat/>
    <w:pPr>
      <w:spacing w:before="240" w:after="2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link w:val="Titel"/>
    <w:rPr>
      <w:rFonts w:ascii="Arial" w:hAnsi="Arial" w:cs="Arial"/>
      <w:b/>
      <w:bCs/>
      <w:kern w:val="28"/>
      <w:sz w:val="42"/>
      <w:szCs w:val="32"/>
      <w:lang w:eastAsia="de-DE"/>
    </w:rPr>
  </w:style>
  <w:style w:type="character" w:customStyle="1" w:styleId="BesuchterHyperlink">
    <w:name w:val="BesuchterHyperlink"/>
    <w:uiPriority w:val="99"/>
    <w:unhideWhenUsed/>
    <w:rPr>
      <w:color w:val="800080"/>
      <w:u w:val="single"/>
    </w:rPr>
  </w:style>
  <w:style w:type="character" w:customStyle="1" w:styleId="berschrift1Zchn1">
    <w:name w:val="Überschrift 1 Zchn1"/>
    <w:aliases w:val="FINMA Überschrift 1 Zchn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TabelleTitel">
    <w:name w:val="Tabelle Titel"/>
    <w:basedOn w:val="Standard"/>
    <w:next w:val="Standard"/>
    <w:pPr>
      <w:spacing w:before="60" w:after="60"/>
      <w:jc w:val="both"/>
    </w:pPr>
    <w:rPr>
      <w:b/>
      <w:bCs/>
      <w:sz w:val="42"/>
      <w:szCs w:val="24"/>
    </w:rPr>
  </w:style>
  <w:style w:type="table" w:styleId="TabelleKlassisch4">
    <w:name w:val="Table Classic 4"/>
    <w:basedOn w:val="NormaleTabelle"/>
    <w:unhideWhenUsed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ittlereListe2-Akzent5">
    <w:name w:val="Medium List 2 Accent 5"/>
    <w:basedOn w:val="NormaleTabelle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HelleListe-Akzent11">
    <w:name w:val="Helle Liste - Akzent 11"/>
    <w:basedOn w:val="NormaleTabelle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Zeilennummer">
    <w:name w:val="line number"/>
    <w:basedOn w:val="Absatz-Standardschriftart"/>
  </w:style>
  <w:style w:type="table" w:styleId="TabelleListe6">
    <w:name w:val="Table List 6"/>
    <w:basedOn w:val="NormaleTabell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6">
    <w:name w:val="Table Grid 6"/>
    <w:basedOn w:val="NormaleTabell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Standard"/>
    <w:uiPriority w:val="99"/>
    <w:unhideWhenUsed/>
    <w:pPr>
      <w:spacing w:after="165" w:line="240" w:lineRule="auto"/>
    </w:pPr>
    <w:rPr>
      <w:rFonts w:ascii="Times New Roman" w:hAnsi="Times New Roman"/>
      <w:sz w:val="26"/>
      <w:szCs w:val="26"/>
      <w:lang w:eastAsia="de-CH"/>
    </w:rPr>
  </w:style>
  <w:style w:type="paragraph" w:styleId="berarbeitung">
    <w:name w:val="Revision"/>
    <w:hidden/>
    <w:uiPriority w:val="99"/>
    <w:semiHidden/>
    <w:rPr>
      <w:rFonts w:ascii="Arial" w:hAnsi="Arial"/>
      <w:lang w:eastAsia="de-DE"/>
    </w:rPr>
  </w:style>
  <w:style w:type="character" w:styleId="BesuchterLink">
    <w:name w:val="FollowedHyperlink"/>
    <w:basedOn w:val="Absatz-Standardschriftart"/>
    <w:uiPriority w:val="99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pPr>
      <w:spacing w:line="240" w:lineRule="auto"/>
    </w:pPr>
    <w:rPr>
      <w:rFonts w:eastAsia="Times"/>
      <w:color w:val="000000"/>
      <w:lang w:eastAsia="en-US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g.admin.c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dk-cds.ch/fr/assurance-maladie/reduction-des-primes/systemes-cantonaux-de-reduction-des-primes" TargetMode="External"/><Relationship Id="rId1" Type="http://schemas.openxmlformats.org/officeDocument/2006/relationships/hyperlink" Target="https://www.gdk-cds.ch/fr/assurance-maladie/reduction-des-primes/systemes-cantonaux-de-reduction-des-prime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lagwortTaxHTField0 xmlns="c9f238dd-bb73-4aef-a7a5-d644ad823e52">
      <Terms xmlns="http://schemas.microsoft.com/office/infopath/2007/PartnerControls"/>
    </SchlagwortTaxHTField0>
    <OrdnungspositionTaxHTField0 xmlns="c9f238dd-bb73-4aef-a7a5-d644ad823e52">
      <Terms xmlns="http://schemas.microsoft.com/office/infopath/2007/PartnerControls"/>
    </OrdnungspositionTaxHTField0>
    <Dossier_x0020_TypTaxHTField0 xmlns="0852ad06-0b79-4ac2-ba2c-9e6338abf1e3" xsi:nil="true"/>
    <Aktenzeichen xmlns="f80ca865-a4d0-4d85-9717-7e174089f5ca">4-07.2 - X01008802</Aktenzeichen>
    <KategorieTaxHTField0 xmlns="4b61ff4c-819f-4bb4-bda2-3e42e3286df1">
      <Terms xmlns="http://schemas.microsoft.com/office/infopath/2007/PartnerControls"/>
    </KategorieTaxHTField0>
    <TaxCatchAll xmlns="8831efb8-a49c-4741-9d0c-801556045a66">
      <Value>18</Value>
    </TaxCatchAll>
    <Aktionswert xmlns="25d1071a-ec21-4a6c-bdfc-6048f7e932c7" xsi:nil="true"/>
    <Dokumentendatum xmlns="25d1071a-ec21-4a6c-bdfc-6048f7e932c7"/>
    <Dossier_x0020_Titel xmlns="f80ca865-a4d0-4d85-9717-7e174089f5ca" xsi:nil="true"/>
    <Aktionsname xmlns="25d1071a-ec21-4a6c-bdfc-6048f7e932c7" xsi:nil="true"/>
    <Dossier_x0020_Bezeichnung xmlns="f5b609b2-dd9a-4243-952c-03534fafb9e0" xsi:nil="true"/>
    <Er_x00f6_ffnungsdatum xmlns="f80ca865-a4d0-4d85-9717-7e174089f5ca"/>
    <Dossier_x0020_Status xmlns="d333f292-fabc-46c2-add1-4fcc2c228574">aktiv</Dossier_x0020_Status>
    <Dossier_x0020_ID xmlns="d333f292-fabc-46c2-add1-4fcc2c228574">1008802</Dossier_x0020_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Urls xmlns="http://schemas.microsoft.com/sharepoint/v3/contenttype/forms/url">
  <Edit>_layouts/finma.portal.dms/EditFinmaDocumentProperties.aspx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MA Dokument" ma:contentTypeID="0x0101004F8CB72C5020684296180AE4B309ADAF003CCA91D451B16D4498C77128CE7902EF" ma:contentTypeVersion="13" ma:contentTypeDescription="" ma:contentTypeScope="" ma:versionID="f2c6fdf99a8d503ddcbd54eb2e910d72">
  <xsd:schema xmlns:xsd="http://www.w3.org/2001/XMLSchema" xmlns:xs="http://www.w3.org/2001/XMLSchema" xmlns:p="http://schemas.microsoft.com/office/2006/metadata/properties" xmlns:ns2="8831efb8-a49c-4741-9d0c-801556045a66" xmlns:ns4="c9f238dd-bb73-4aef-a7a5-d644ad823e52" xmlns:ns5="d333f292-fabc-46c2-add1-4fcc2c228574" xmlns:ns6="f80ca865-a4d0-4d85-9717-7e174089f5ca" xmlns:ns7="f5b609b2-dd9a-4243-952c-03534fafb9e0" xmlns:ns8="4b61ff4c-819f-4bb4-bda2-3e42e3286df1" xmlns:ns9="25d1071a-ec21-4a6c-bdfc-6048f7e932c7" xmlns:ns10="0852ad06-0b79-4ac2-ba2c-9e6338abf1e3" targetNamespace="http://schemas.microsoft.com/office/2006/metadata/properties" ma:root="true" ma:fieldsID="12b43775f7e7d72dea06291b548a830c" ns2:_="" ns4:_="" ns5:_="" ns6:_="" ns7:_="" ns8:_="" ns9:_="" ns10:_="">
    <xsd:import namespace="8831efb8-a49c-4741-9d0c-801556045a66"/>
    <xsd:import namespace="c9f238dd-bb73-4aef-a7a5-d644ad823e52"/>
    <xsd:import namespace="d333f292-fabc-46c2-add1-4fcc2c228574"/>
    <xsd:import namespace="f80ca865-a4d0-4d85-9717-7e174089f5ca"/>
    <xsd:import namespace="f5b609b2-dd9a-4243-952c-03534fafb9e0"/>
    <xsd:import namespace="4b61ff4c-819f-4bb4-bda2-3e42e3286df1"/>
    <xsd:import namespace="25d1071a-ec21-4a6c-bdfc-6048f7e932c7"/>
    <xsd:import namespace="0852ad06-0b79-4ac2-ba2c-9e6338abf1e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4:OrdnungspositionTaxHTField0" minOccurs="0"/>
                <xsd:element ref="ns5:Dossier_x0020_ID"/>
                <xsd:element ref="ns6:Dossier_x0020_Titel" minOccurs="0"/>
                <xsd:element ref="ns6:Er_x00f6_ffnungsdatum"/>
                <xsd:element ref="ns5:Dossier_x0020_Status"/>
                <xsd:element ref="ns4:SchlagwortTaxHTField0" minOccurs="0"/>
                <xsd:element ref="ns6:Aktenzeichen"/>
                <xsd:element ref="ns7:Dossier_x0020_Bezeichnung" minOccurs="0"/>
                <xsd:element ref="ns8:KategorieTaxHTField0" minOccurs="0"/>
                <xsd:element ref="ns9:Aktionsname" minOccurs="0"/>
                <xsd:element ref="ns9:Aktionswert" minOccurs="0"/>
                <xsd:element ref="ns10:Dossier_x0020_TypTaxHTField0" minOccurs="0"/>
                <xsd:element ref="ns6:_dlc_DocId" minOccurs="0"/>
                <xsd:element ref="ns6:_dlc_DocIdUrl" minOccurs="0"/>
                <xsd:element ref="ns6:_dlc_DocIdPersistId" minOccurs="0"/>
                <xsd:element ref="ns9:Dokumentendatu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efb8-a49c-4741-9d0c-801556045a6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df25384d-c029-4203-a727-ccbe8a39e48f}" ma:internalName="TaxCatchAll" ma:showField="CatchAllData" ma:web="6820b157-fcb0-4be5-869d-6d4a5f5e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df25384d-c029-4203-a727-ccbe8a39e48f}" ma:internalName="TaxCatchAllLabel" ma:readOnly="true" ma:showField="CatchAllDataLabel" ma:web="6820b157-fcb0-4be5-869d-6d4a5f5e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OrdnungspositionTaxHTField0" ma:index="11" nillable="true" ma:taxonomy="true" ma:internalName="OrdnungspositionTaxHTField0" ma:taxonomyFieldName="Ordnungsposition" ma:displayName="Ordnungssystemposition" ma:fieldId="{1b31669b-6399-4b64-a81c-fe152454b093}" ma:sspId="b0c6d588-e963-47ff-a8de-5cb02962fb18" ma:termSetId="8ab33e40-fbfa-4069-89bd-374d25ef23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hlagwortTaxHTField0" ma:index="16" nillable="true" ma:taxonomy="true" ma:internalName="SchlagwortTaxHTField0" ma:taxonomyFieldName="Schlagwort" ma:displayName="Schlagwort" ma:fieldId="{749da0d1-4649-4c25-871b-05f0c07221fc}" ma:taxonomyMulti="true" ma:sspId="b0c6d588-e963-47ff-a8de-5cb02962fb18" ma:termSetId="35ed469d-bfb4-4e58-83fd-01918edae1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f292-fabc-46c2-add1-4fcc2c228574" elementFormDefault="qualified">
    <xsd:import namespace="http://schemas.microsoft.com/office/2006/documentManagement/types"/>
    <xsd:import namespace="http://schemas.microsoft.com/office/infopath/2007/PartnerControls"/>
    <xsd:element name="Dossier_x0020_ID" ma:index="12" ma:displayName="Dossier ID" ma:internalName="Dossier_x0020_ID">
      <xsd:simpleType>
        <xsd:restriction base="dms:Text">
          <xsd:maxLength value="255"/>
        </xsd:restriction>
      </xsd:simpleType>
    </xsd:element>
    <xsd:element name="Dossier_x0020_Status" ma:index="15" ma:displayName="Dossier Status" ma:default="aktiv" ma:format="Dropdown" ma:internalName="Dossier_x0020_Status">
      <xsd:simpleType>
        <xsd:restriction base="dms:Choice">
          <xsd:enumeration value="aktiv"/>
          <xsd:enumeration value="Inaktiv (on hold)"/>
          <xsd:enumeration value="Intern pendent"/>
          <xsd:enumeration value="Extern pendent"/>
          <xsd:enumeration value="Erledigt"/>
          <xsd:enumeration value="Abgeschlossen"/>
          <xsd:enumeration value="abgeschlossen zdA"/>
          <xsd:enumeration value="Übernommen von DMA"/>
          <xsd:enumeration value="ausgesondert"/>
          <xsd:enumeration value="archiviert (BAR)"/>
          <xsd:enumeration value="Kassiert (DMA)"/>
          <xsd:enumeration value="storniert"/>
          <xsd:enumeration value="Old Sam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a865-a4d0-4d85-9717-7e174089f5ca" elementFormDefault="qualified">
    <xsd:import namespace="http://schemas.microsoft.com/office/2006/documentManagement/types"/>
    <xsd:import namespace="http://schemas.microsoft.com/office/infopath/2007/PartnerControls"/>
    <xsd:element name="Dossier_x0020_Titel" ma:index="13" nillable="true" ma:displayName="Dossier Titel" ma:internalName="Dossier_x0020_Titel">
      <xsd:simpleType>
        <xsd:restriction base="dms:Text">
          <xsd:maxLength value="255"/>
        </xsd:restriction>
      </xsd:simpleType>
    </xsd:element>
    <xsd:element name="Er_x00f6_ffnungsdatum" ma:index="14" ma:displayName="Eröffnungsdatum" ma:format="DateOnly" ma:internalName="Er_x00f6_ffnungsdatum">
      <xsd:simpleType>
        <xsd:restriction base="dms:DateTime"/>
      </xsd:simpleType>
    </xsd:element>
    <xsd:element name="Aktenzeichen" ma:index="18" ma:displayName="Aktenzeichen" ma:internalName="Aktenzeichen">
      <xsd:simpleType>
        <xsd:restriction base="dms:Text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609b2-dd9a-4243-952c-03534fafb9e0" elementFormDefault="qualified">
    <xsd:import namespace="http://schemas.microsoft.com/office/2006/documentManagement/types"/>
    <xsd:import namespace="http://schemas.microsoft.com/office/infopath/2007/PartnerControls"/>
    <xsd:element name="Dossier_x0020_Bezeichnung" ma:index="19" nillable="true" ma:displayName="Dossier Bezeichnung" ma:internalName="Dossier_x0020_Bezeichn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ff4c-819f-4bb4-bda2-3e42e3286df1" elementFormDefault="qualified">
    <xsd:import namespace="http://schemas.microsoft.com/office/2006/documentManagement/types"/>
    <xsd:import namespace="http://schemas.microsoft.com/office/infopath/2007/PartnerControls"/>
    <xsd:element name="KategorieTaxHTField0" ma:index="20" nillable="true" ma:taxonomy="true" ma:internalName="KategorieTaxHTField0" ma:taxonomyFieldName="Kategorie" ma:displayName="Kategorie" ma:fieldId="{087e2bec-6706-4df5-87be-47733696ea3c}" ma:sspId="b0c6d588-e963-47ff-a8de-5cb02962fb18" ma:termSetId="76a2fa96-3e9b-4d62-901d-d189515486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071a-ec21-4a6c-bdfc-6048f7e932c7" elementFormDefault="qualified">
    <xsd:import namespace="http://schemas.microsoft.com/office/2006/documentManagement/types"/>
    <xsd:import namespace="http://schemas.microsoft.com/office/infopath/2007/PartnerControls"/>
    <xsd:element name="Aktionsname" ma:index="22" nillable="true" ma:displayName="Aktionsname" ma:internalName="Aktionsname" ma:readOnly="false">
      <xsd:simpleType>
        <xsd:restriction base="dms:Text">
          <xsd:maxLength value="255"/>
        </xsd:restriction>
      </xsd:simpleType>
    </xsd:element>
    <xsd:element name="Aktionswert" ma:index="23" nillable="true" ma:displayName="Aktionswert" ma:internalName="Aktionswert" ma:readOnly="false">
      <xsd:simpleType>
        <xsd:restriction base="dms:Text">
          <xsd:maxLength value="255"/>
        </xsd:restriction>
      </xsd:simpleType>
    </xsd:element>
    <xsd:element name="Dokumentendatum" ma:index="28" ma:displayName="Dokumentendatum" ma:format="DateOnly" ma:internalName="Dokumenten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2ad06-0b79-4ac2-ba2c-9e6338abf1e3" elementFormDefault="qualified">
    <xsd:import namespace="http://schemas.microsoft.com/office/2006/documentManagement/types"/>
    <xsd:import namespace="http://schemas.microsoft.com/office/infopath/2007/PartnerControls"/>
    <xsd:element name="Dossier_x0020_TypTaxHTField0" ma:index="24" nillable="true" ma:displayName="Dossier Typ_0" ma:hidden="true" ma:internalName="Dossier_x0020_TypTaxHTField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EditFinmaDocumentProperties.aspx</Edit>
  <New>DocumentLibraryForm</New>
</FormTemplates>
</file>

<file path=customXml/item7.xml><?xml version="1.0" encoding="utf-8"?>
<?mso-contentType ?>
<SharedContentType xmlns="Microsoft.SharePoint.Taxonomy.ContentTypeSync" SourceId="b0c6d588-e963-47ff-a8de-5cb02962fb18" ContentTypeId="0x0101004F8CB72C5020684296180AE4B309ADAF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541D-83E1-4330-B1C7-7A4D453D15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54145E-DEAA-42DB-A7BC-C1D96F538388}">
  <ds:schemaRefs>
    <ds:schemaRef ds:uri="f80ca865-a4d0-4d85-9717-7e174089f5ca"/>
    <ds:schemaRef ds:uri="f5b609b2-dd9a-4243-952c-03534fafb9e0"/>
    <ds:schemaRef ds:uri="0852ad06-0b79-4ac2-ba2c-9e6338abf1e3"/>
    <ds:schemaRef ds:uri="http://schemas.microsoft.com/office/infopath/2007/PartnerControls"/>
    <ds:schemaRef ds:uri="4b61ff4c-819f-4bb4-bda2-3e42e3286df1"/>
    <ds:schemaRef ds:uri="8831efb8-a49c-4741-9d0c-801556045a66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f238dd-bb73-4aef-a7a5-d644ad823e52"/>
    <ds:schemaRef ds:uri="http://purl.org/dc/terms/"/>
    <ds:schemaRef ds:uri="d333f292-fabc-46c2-add1-4fcc2c228574"/>
    <ds:schemaRef ds:uri="http://purl.org/dc/dcmitype/"/>
    <ds:schemaRef ds:uri="25d1071a-ec21-4a6c-bdfc-6048f7e932c7"/>
  </ds:schemaRefs>
</ds:datastoreItem>
</file>

<file path=customXml/itemProps3.xml><?xml version="1.0" encoding="utf-8"?>
<ds:datastoreItem xmlns:ds="http://schemas.openxmlformats.org/officeDocument/2006/customXml" ds:itemID="{871A716F-3CB3-471C-A491-AA9A4A8C0D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21E300-8292-4289-B326-E965F8AF47A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C47A734-C007-455F-907E-540598906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1efb8-a49c-4741-9d0c-801556045a66"/>
    <ds:schemaRef ds:uri="c9f238dd-bb73-4aef-a7a5-d644ad823e52"/>
    <ds:schemaRef ds:uri="d333f292-fabc-46c2-add1-4fcc2c228574"/>
    <ds:schemaRef ds:uri="f80ca865-a4d0-4d85-9717-7e174089f5ca"/>
    <ds:schemaRef ds:uri="f5b609b2-dd9a-4243-952c-03534fafb9e0"/>
    <ds:schemaRef ds:uri="4b61ff4c-819f-4bb4-bda2-3e42e3286df1"/>
    <ds:schemaRef ds:uri="25d1071a-ec21-4a6c-bdfc-6048f7e932c7"/>
    <ds:schemaRef ds:uri="0852ad06-0b79-4ac2-ba2c-9e6338ab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DD2D763-3793-4B97-81F6-A7FF4A29B50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1071D1E-A484-491D-8B7C-DFDF1B8CF08D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5B6B5B07-29B8-4E0E-B1BE-06D39E64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7713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 Basis Hoch</vt:lpstr>
      <vt:lpstr>D Basis Hoch</vt:lpstr>
      <vt:lpstr>06</vt:lpstr>
    </vt:vector>
  </TitlesOfParts>
  <Company>FINMA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Basis Hoch</dc:title>
  <dc:subject/>
  <dc:creator>Peter Ruetschi</dc:creator>
  <cp:keywords/>
  <cp:lastModifiedBy>Schmutz Marc BAG</cp:lastModifiedBy>
  <cp:revision>8</cp:revision>
  <cp:lastPrinted>2022-09-23T14:59:00Z</cp:lastPrinted>
  <dcterms:created xsi:type="dcterms:W3CDTF">2022-09-22T04:56:00Z</dcterms:created>
  <dcterms:modified xsi:type="dcterms:W3CDTF">2022-09-23T14:59:00Z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0x0101004F8CB72C5020684296180AE4B309ADAF003CCA91D451B16D4498C77128CE7902EF</vt:lpwstr>
  </property>
  <property fmtid="{D5CDD505-2E9C-101B-9397-08002B2CF9AE}" pid="3" name="MP_UpdateVersion">
    <vt:lpwstr>22</vt:lpwstr>
  </property>
  <property fmtid="{D5CDD505-2E9C-101B-9397-08002B2CF9AE}" pid="4" name="MatchPointUserTags">
    <vt:lpwstr>((2559)(2545)(2396))((2577)(2549)(2396))((2575)(2548)(2396))</vt:lpwstr>
  </property>
  <property fmtid="{D5CDD505-2E9C-101B-9397-08002B2CF9AE}" pid="5" name="DOCGUID">
    <vt:lpwstr>c4d43e0e-d746-4dd3-991b-6052f6a1a477</vt:lpwstr>
  </property>
  <property fmtid="{D5CDD505-2E9C-101B-9397-08002B2CF9AE}" pid="6" name="_NewReviewCycle">
    <vt:lpwstr/>
  </property>
  <property fmtid="{D5CDD505-2E9C-101B-9397-08002B2CF9AE}" pid="7" name="GridSoftPortalStatus">
    <vt:lpwstr>Offen</vt:lpwstr>
  </property>
  <property fmtid="{D5CDD505-2E9C-101B-9397-08002B2CF9AE}" pid="8" name="Priority">
    <vt:lpwstr>(2) Normal</vt:lpwstr>
  </property>
  <property fmtid="{D5CDD505-2E9C-101B-9397-08002B2CF9AE}" pid="9" name="GridSoftPortalFinmaDocumentType">
    <vt:lpwstr/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Aktenzeichen_SPPSTextValue">
    <vt:lpwstr>4-07.2 - X01008802</vt:lpwstr>
  </property>
  <property fmtid="{D5CDD505-2E9C-101B-9397-08002B2CF9AE}" pid="13" name="Aktionswert_SPPSTextValue">
    <vt:lpwstr/>
  </property>
  <property fmtid="{D5CDD505-2E9C-101B-9397-08002B2CF9AE}" pid="14" name="Dossier Titel_SPPSTextValue">
    <vt:lpwstr>1008802</vt:lpwstr>
  </property>
  <property fmtid="{D5CDD505-2E9C-101B-9397-08002B2CF9AE}" pid="15" name="Aktionsname_SPPSTextValue">
    <vt:lpwstr/>
  </property>
  <property fmtid="{D5CDD505-2E9C-101B-9397-08002B2CF9AE}" pid="16" name="Dossier Bezeichnung_SPPSTextValue">
    <vt:lpwstr>Verantwortlichen Koordination Prüfwesen (G01009336)</vt:lpwstr>
  </property>
  <property fmtid="{D5CDD505-2E9C-101B-9397-08002B2CF9AE}" pid="17" name="Eröffnungsdatum_SPPSTextValue">
    <vt:lpwstr/>
  </property>
  <property fmtid="{D5CDD505-2E9C-101B-9397-08002B2CF9AE}" pid="18" name="Dossier Status_SPPSTextValue">
    <vt:lpwstr>aktiv</vt:lpwstr>
  </property>
  <property fmtid="{D5CDD505-2E9C-101B-9397-08002B2CF9AE}" pid="19" name="Dossier ID_SPPSTextValue">
    <vt:lpwstr>1008802</vt:lpwstr>
  </property>
  <property fmtid="{D5CDD505-2E9C-101B-9397-08002B2CF9AE}" pid="20" name="Ordnungsposition">
    <vt:lpwstr>18;#4-07.2 Reguläre Aufsicht Prüfgesellschaften|4f723ced-3eba-459c-9f44-95a555be23bd</vt:lpwstr>
  </property>
  <property fmtid="{D5CDD505-2E9C-101B-9397-08002B2CF9AE}" pid="21" name="Kategorie_SPPSTextValue">
    <vt:lpwstr/>
  </property>
  <property fmtid="{D5CDD505-2E9C-101B-9397-08002B2CF9AE}" pid="22" name="Schlagwort">
    <vt:lpwstr/>
  </property>
  <property fmtid="{D5CDD505-2E9C-101B-9397-08002B2CF9AE}" pid="23" name="_dlc_DocId">
    <vt:lpwstr>b164912-0008441</vt:lpwstr>
  </property>
  <property fmtid="{D5CDD505-2E9C-101B-9397-08002B2CF9AE}" pid="24" name="_dlc_DocIdUrl">
    <vt:lpwstr>http://dms.finma.ch/containers/164912/_layouts/DocIdRedir.aspx?ID=b164912-0008441, b164912-0008441</vt:lpwstr>
  </property>
  <property fmtid="{D5CDD505-2E9C-101B-9397-08002B2CF9AE}" pid="25" name="_dlc_DocIdItemGuid">
    <vt:lpwstr>29be8470-7089-435c-811c-9b2ecbdcaa3d</vt:lpwstr>
  </property>
  <property fmtid="{D5CDD505-2E9C-101B-9397-08002B2CF9AE}" pid="26" name="Schlagwort_SPPSTextValue">
    <vt:lpwstr/>
  </property>
  <property fmtid="{D5CDD505-2E9C-101B-9397-08002B2CF9AE}" pid="27" name="Kategorie">
    <vt:lpwstr/>
  </property>
  <property fmtid="{D5CDD505-2E9C-101B-9397-08002B2CF9AE}" pid="28" name="Dossier Typ">
    <vt:lpwstr/>
  </property>
  <property fmtid="{D5CDD505-2E9C-101B-9397-08002B2CF9AE}" pid="29" name="Dokumentendatum_SPPSTextValue">
    <vt:lpwstr/>
  </property>
</Properties>
</file>